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5C" w:rsidRDefault="00B2075C" w:rsidP="00F819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  <w:r>
        <w:rPr>
          <w:rFonts w:ascii="Arial Narrow" w:hAnsi="Arial Narrow" w:cs="Arial-BoldMT"/>
          <w:b/>
          <w:bCs/>
        </w:rPr>
        <w:t>Anexo No. 8</w:t>
      </w:r>
    </w:p>
    <w:p w:rsidR="00F81994" w:rsidRDefault="00F81994" w:rsidP="00F819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  <w:r w:rsidRPr="00F81994">
        <w:rPr>
          <w:rFonts w:ascii="Arial Narrow" w:hAnsi="Arial Narrow" w:cs="Arial-BoldMT"/>
          <w:b/>
          <w:bCs/>
        </w:rPr>
        <w:t>MATRIZ DE RIESGOS</w:t>
      </w:r>
    </w:p>
    <w:p w:rsidR="00094637" w:rsidRDefault="00094637" w:rsidP="000946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  <w:bookmarkStart w:id="0" w:name="_GoBack"/>
    </w:p>
    <w:bookmarkEnd w:id="0"/>
    <w:p w:rsidR="00094637" w:rsidRDefault="00094637" w:rsidP="00F819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  <w:r>
        <w:rPr>
          <w:rFonts w:ascii="Arial Narrow" w:hAnsi="Arial Narrow" w:cs="Arial-BoldMT"/>
          <w:b/>
          <w:bCs/>
        </w:rPr>
        <w:t>Obras de adecuación pisos 4, 5 y 6 Edificio de la JEP</w:t>
      </w:r>
    </w:p>
    <w:p w:rsidR="00F81994" w:rsidRPr="00F81994" w:rsidRDefault="00F81994" w:rsidP="00F8199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:rsidR="00563EAD" w:rsidRDefault="00F81994" w:rsidP="00F819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F81994">
        <w:rPr>
          <w:rFonts w:ascii="Arial Narrow" w:hAnsi="Arial Narrow" w:cs="ArialMT"/>
        </w:rPr>
        <w:t xml:space="preserve">La matriz de riesgos contractuales hace parte integral de </w:t>
      </w:r>
      <w:r>
        <w:rPr>
          <w:rFonts w:ascii="Arial Narrow" w:hAnsi="Arial Narrow" w:cs="ArialMT"/>
        </w:rPr>
        <w:t xml:space="preserve">la presente convocatoria y por lo tanto </w:t>
      </w:r>
      <w:r w:rsidRPr="00F81994">
        <w:rPr>
          <w:rFonts w:ascii="Arial Narrow" w:hAnsi="Arial Narrow" w:cs="ArialMT"/>
        </w:rPr>
        <w:t>del contrato que se suscriba. Ésta es resultado de un ejercici</w:t>
      </w:r>
      <w:r>
        <w:rPr>
          <w:rFonts w:ascii="Arial Narrow" w:hAnsi="Arial Narrow" w:cs="ArialMT"/>
        </w:rPr>
        <w:t xml:space="preserve">o de identificación, valoración </w:t>
      </w:r>
      <w:r w:rsidRPr="00F81994">
        <w:rPr>
          <w:rFonts w:ascii="Arial Narrow" w:hAnsi="Arial Narrow" w:cs="ArialMT"/>
        </w:rPr>
        <w:t>y distribución de dichos riesgos. Si los interesa</w:t>
      </w:r>
      <w:r>
        <w:rPr>
          <w:rFonts w:ascii="Arial Narrow" w:hAnsi="Arial Narrow" w:cs="ArialMT"/>
        </w:rPr>
        <w:t xml:space="preserve">dos estiman que existen riesgos </w:t>
      </w:r>
      <w:r w:rsidRPr="00F81994">
        <w:rPr>
          <w:rFonts w:ascii="Arial Narrow" w:hAnsi="Arial Narrow" w:cs="ArialMT"/>
        </w:rPr>
        <w:t>contractuales no previstos en la matriz de riesgos</w:t>
      </w:r>
      <w:r>
        <w:rPr>
          <w:rFonts w:ascii="Arial Narrow" w:hAnsi="Arial Narrow" w:cs="ArialMT"/>
        </w:rPr>
        <w:t xml:space="preserve"> contractuales propuesta por el Patrimonio Autónomo Fondo Colombia en Paz – PA FCP</w:t>
      </w:r>
      <w:r w:rsidRPr="00F81994">
        <w:rPr>
          <w:rFonts w:ascii="Arial Narrow" w:hAnsi="Arial Narrow" w:cs="ArialMT"/>
        </w:rPr>
        <w:t>, debe anunciarlo en la etapa de pres</w:t>
      </w:r>
      <w:r>
        <w:rPr>
          <w:rFonts w:ascii="Arial Narrow" w:hAnsi="Arial Narrow" w:cs="ArialMT"/>
        </w:rPr>
        <w:t xml:space="preserve">entación de observaciones, para </w:t>
      </w:r>
      <w:r w:rsidRPr="00F81994">
        <w:rPr>
          <w:rFonts w:ascii="Arial Narrow" w:hAnsi="Arial Narrow" w:cs="ArialMT"/>
        </w:rPr>
        <w:t>que sean evaluados y de ser pertinentes sean i</w:t>
      </w:r>
      <w:r w:rsidR="00065A4E">
        <w:rPr>
          <w:rFonts w:ascii="Arial Narrow" w:hAnsi="Arial Narrow" w:cs="ArialMT"/>
        </w:rPr>
        <w:t>ncorporados. N</w:t>
      </w:r>
      <w:r w:rsidRPr="00F81994">
        <w:rPr>
          <w:rFonts w:ascii="Arial Narrow" w:hAnsi="Arial Narrow" w:cs="ArialMT"/>
        </w:rPr>
        <w:t>o será posible entonces alegar desequilibrio económic</w:t>
      </w:r>
      <w:r>
        <w:rPr>
          <w:rFonts w:ascii="Arial Narrow" w:hAnsi="Arial Narrow" w:cs="ArialMT"/>
        </w:rPr>
        <w:t xml:space="preserve">o del contrato por factores que </w:t>
      </w:r>
      <w:r w:rsidRPr="00F81994">
        <w:rPr>
          <w:rFonts w:ascii="Arial Narrow" w:hAnsi="Arial Narrow" w:cs="ArialMT"/>
        </w:rPr>
        <w:t>pudieron ser previstos en la etapa precontractual co</w:t>
      </w:r>
      <w:r>
        <w:rPr>
          <w:rFonts w:ascii="Arial Narrow" w:hAnsi="Arial Narrow" w:cs="ArialMT"/>
        </w:rPr>
        <w:t xml:space="preserve">n base en el conocimiento de la </w:t>
      </w:r>
      <w:r w:rsidR="00065A4E">
        <w:rPr>
          <w:rFonts w:ascii="Arial Narrow" w:hAnsi="Arial Narrow" w:cs="ArialMT"/>
        </w:rPr>
        <w:t>convocatoria y los documentos que hacen parte integral de esta</w:t>
      </w:r>
      <w:r w:rsidRPr="00F81994">
        <w:rPr>
          <w:rFonts w:ascii="Arial Narrow" w:hAnsi="Arial Narrow" w:cs="ArialMT"/>
        </w:rPr>
        <w:t>, as</w:t>
      </w:r>
      <w:r>
        <w:rPr>
          <w:rFonts w:ascii="Arial Narrow" w:hAnsi="Arial Narrow" w:cs="ArialMT"/>
        </w:rPr>
        <w:t xml:space="preserve">í como de su contexto, y que no </w:t>
      </w:r>
      <w:r w:rsidRPr="00F81994">
        <w:rPr>
          <w:rFonts w:ascii="Arial Narrow" w:hAnsi="Arial Narrow" w:cs="ArialMT"/>
        </w:rPr>
        <w:t xml:space="preserve">hayan sido anunciados por el </w:t>
      </w:r>
      <w:r w:rsidR="00065A4E">
        <w:rPr>
          <w:rFonts w:ascii="Arial Narrow" w:hAnsi="Arial Narrow" w:cs="ArialMT"/>
        </w:rPr>
        <w:t>CONTRATISTA</w:t>
      </w:r>
      <w:r w:rsidR="00B70AF3">
        <w:rPr>
          <w:rFonts w:ascii="Arial Narrow" w:hAnsi="Arial Narrow" w:cs="ArialMT"/>
        </w:rPr>
        <w:t xml:space="preserve">. </w:t>
      </w:r>
    </w:p>
    <w:p w:rsidR="00563EAD" w:rsidRDefault="00563EAD" w:rsidP="00F819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Default="00B70AF3" w:rsidP="00F819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El PA-FCP</w:t>
      </w:r>
      <w:r w:rsidR="00F81994" w:rsidRPr="00F81994">
        <w:rPr>
          <w:rFonts w:ascii="Arial Narrow" w:hAnsi="Arial Narrow" w:cs="ArialMT"/>
        </w:rPr>
        <w:t xml:space="preserve"> se reserva el derecho a acoger o no la</w:t>
      </w:r>
      <w:r w:rsidR="00F81994">
        <w:rPr>
          <w:rFonts w:ascii="Arial Narrow" w:hAnsi="Arial Narrow" w:cs="ArialMT"/>
        </w:rPr>
        <w:t xml:space="preserve">s observaciones que se formulen </w:t>
      </w:r>
      <w:r w:rsidR="00F81994" w:rsidRPr="00F81994">
        <w:rPr>
          <w:rFonts w:ascii="Arial Narrow" w:hAnsi="Arial Narrow" w:cs="ArialMT"/>
        </w:rPr>
        <w:t>acerca de la distribución de los riesgos previsibles a cargo del contratista.</w:t>
      </w:r>
    </w:p>
    <w:p w:rsidR="00F81994" w:rsidRPr="00F81994" w:rsidRDefault="00F81994" w:rsidP="00F819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B70AF3" w:rsidRDefault="00F81994" w:rsidP="00B70A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F81994">
        <w:rPr>
          <w:rFonts w:ascii="Arial Narrow" w:hAnsi="Arial Narrow" w:cs="ArialMT"/>
        </w:rPr>
        <w:t xml:space="preserve">El nivel de probabilidad de ocurrencia de los riesgos y la </w:t>
      </w:r>
      <w:r>
        <w:rPr>
          <w:rFonts w:ascii="Arial Narrow" w:hAnsi="Arial Narrow" w:cs="ArialMT"/>
        </w:rPr>
        <w:t xml:space="preserve">afectación del contrato depende </w:t>
      </w:r>
      <w:r w:rsidRPr="00F81994">
        <w:rPr>
          <w:rFonts w:ascii="Arial Narrow" w:hAnsi="Arial Narrow" w:cs="ArialMT"/>
        </w:rPr>
        <w:t>de la efectividad o no de las acciones realizadas por el contr</w:t>
      </w:r>
      <w:r>
        <w:rPr>
          <w:rFonts w:ascii="Arial Narrow" w:hAnsi="Arial Narrow" w:cs="ArialMT"/>
        </w:rPr>
        <w:t xml:space="preserve">atista para eliminar o mitigar, </w:t>
      </w:r>
      <w:r w:rsidRPr="00F81994">
        <w:rPr>
          <w:rFonts w:ascii="Arial Narrow" w:hAnsi="Arial Narrow" w:cs="ArialMT"/>
        </w:rPr>
        <w:t>según sea el caso, los riesgos que se presenten durante</w:t>
      </w:r>
      <w:r>
        <w:rPr>
          <w:rFonts w:ascii="Arial Narrow" w:hAnsi="Arial Narrow" w:cs="ArialMT"/>
        </w:rPr>
        <w:t xml:space="preserve"> la ejecución del contrato. </w:t>
      </w:r>
    </w:p>
    <w:p w:rsidR="00B70AF3" w:rsidRDefault="00B70AF3" w:rsidP="00B70A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Pr="00F81994" w:rsidRDefault="00F81994" w:rsidP="00B70A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Los </w:t>
      </w:r>
      <w:r w:rsidRPr="00F81994">
        <w:rPr>
          <w:rFonts w:ascii="Arial Narrow" w:hAnsi="Arial Narrow" w:cs="ArialMT"/>
        </w:rPr>
        <w:t>proponentes declaran que para la preparación y presen</w:t>
      </w:r>
      <w:r>
        <w:rPr>
          <w:rFonts w:ascii="Arial Narrow" w:hAnsi="Arial Narrow" w:cs="ArialMT"/>
        </w:rPr>
        <w:t xml:space="preserve">tación de su oferta conocieron, </w:t>
      </w:r>
      <w:r w:rsidRPr="00F81994">
        <w:rPr>
          <w:rFonts w:ascii="Arial Narrow" w:hAnsi="Arial Narrow" w:cs="ArialMT"/>
        </w:rPr>
        <w:t>aceptaron, valoraron e incluyeron los riesgos contra</w:t>
      </w:r>
      <w:r w:rsidR="00B70AF3">
        <w:rPr>
          <w:rFonts w:ascii="Arial Narrow" w:hAnsi="Arial Narrow" w:cs="ArialMT"/>
        </w:rPr>
        <w:t xml:space="preserve">ctuales contenidos en la matriz </w:t>
      </w:r>
      <w:r w:rsidRPr="00F81994">
        <w:rPr>
          <w:rFonts w:ascii="Arial Narrow" w:hAnsi="Arial Narrow" w:cs="ArialMT"/>
        </w:rPr>
        <w:t>definitiva.</w:t>
      </w:r>
    </w:p>
    <w:p w:rsidR="00F81994" w:rsidRDefault="00F81994" w:rsidP="00F8199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:rsidR="00F81994" w:rsidRDefault="00F81994" w:rsidP="00B70A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F81994">
        <w:rPr>
          <w:rFonts w:ascii="Arial Narrow" w:hAnsi="Arial Narrow" w:cs="ArialMT"/>
        </w:rPr>
        <w:t>Consecuente con lo anterior, partiendo de la debida di</w:t>
      </w:r>
      <w:r w:rsidR="00B70AF3">
        <w:rPr>
          <w:rFonts w:ascii="Arial Narrow" w:hAnsi="Arial Narrow" w:cs="ArialMT"/>
        </w:rPr>
        <w:t xml:space="preserve">ligencia y con fundamento en el </w:t>
      </w:r>
      <w:r w:rsidRPr="00F81994">
        <w:rPr>
          <w:rFonts w:ascii="Arial Narrow" w:hAnsi="Arial Narrow" w:cs="ArialMT"/>
        </w:rPr>
        <w:t>principio de la buena fe precontractual de que trat</w:t>
      </w:r>
      <w:r w:rsidR="00B70AF3">
        <w:rPr>
          <w:rFonts w:ascii="Arial Narrow" w:hAnsi="Arial Narrow" w:cs="ArialMT"/>
        </w:rPr>
        <w:t xml:space="preserve">a el artículo 863 del Código de </w:t>
      </w:r>
      <w:r w:rsidRPr="00F81994">
        <w:rPr>
          <w:rFonts w:ascii="Arial Narrow" w:hAnsi="Arial Narrow" w:cs="ArialMT"/>
        </w:rPr>
        <w:t>Comercio, que debe tener</w:t>
      </w:r>
      <w:r w:rsidR="00E40228">
        <w:rPr>
          <w:rFonts w:ascii="Arial Narrow" w:hAnsi="Arial Narrow" w:cs="ArialMT"/>
        </w:rPr>
        <w:t xml:space="preserve"> el proponente al realizar su propuesta</w:t>
      </w:r>
      <w:r w:rsidR="00B70AF3">
        <w:rPr>
          <w:rFonts w:ascii="Arial Narrow" w:hAnsi="Arial Narrow" w:cs="ArialMT"/>
        </w:rPr>
        <w:t xml:space="preserve">, se entiende que todos los </w:t>
      </w:r>
      <w:r w:rsidRPr="00F81994">
        <w:rPr>
          <w:rFonts w:ascii="Arial Narrow" w:hAnsi="Arial Narrow" w:cs="ArialMT"/>
        </w:rPr>
        <w:t xml:space="preserve">riesgos previsibles del </w:t>
      </w:r>
      <w:proofErr w:type="gramStart"/>
      <w:r w:rsidRPr="00F81994">
        <w:rPr>
          <w:rFonts w:ascii="Arial Narrow" w:hAnsi="Arial Narrow" w:cs="ArialMT"/>
        </w:rPr>
        <w:t>contrato,</w:t>
      </w:r>
      <w:proofErr w:type="gramEnd"/>
      <w:r w:rsidRPr="00F81994">
        <w:rPr>
          <w:rFonts w:ascii="Arial Narrow" w:hAnsi="Arial Narrow" w:cs="ArialMT"/>
        </w:rPr>
        <w:t xml:space="preserve"> fueron tenidos en c</w:t>
      </w:r>
      <w:r w:rsidR="00B70AF3">
        <w:rPr>
          <w:rFonts w:ascii="Arial Narrow" w:hAnsi="Arial Narrow" w:cs="ArialMT"/>
        </w:rPr>
        <w:t xml:space="preserve">uenta al momento de elaborar su </w:t>
      </w:r>
      <w:r w:rsidRPr="00F81994">
        <w:rPr>
          <w:rFonts w:ascii="Arial Narrow" w:hAnsi="Arial Narrow" w:cs="ArialMT"/>
        </w:rPr>
        <w:t>propuesta. La tipificación, estimación y distribución de los riesgos previsibles del contrato</w:t>
      </w:r>
      <w:r w:rsidR="00B70AF3">
        <w:rPr>
          <w:rFonts w:ascii="Arial Narrow" w:hAnsi="Arial Narrow" w:cs="ArialMT"/>
        </w:rPr>
        <w:t xml:space="preserve"> </w:t>
      </w:r>
      <w:r w:rsidRPr="00F81994">
        <w:rPr>
          <w:rFonts w:ascii="Arial Narrow" w:hAnsi="Arial Narrow" w:cs="ArialMT"/>
        </w:rPr>
        <w:t xml:space="preserve">objeto del presente proceso de selección, se sujetarán </w:t>
      </w:r>
      <w:r w:rsidR="00B70AF3">
        <w:rPr>
          <w:rFonts w:ascii="Arial Narrow" w:hAnsi="Arial Narrow" w:cs="ArialMT"/>
        </w:rPr>
        <w:t xml:space="preserve">a los criterios definidos en el </w:t>
      </w:r>
      <w:r w:rsidRPr="00F81994">
        <w:rPr>
          <w:rFonts w:ascii="Arial Narrow" w:hAnsi="Arial Narrow" w:cs="ArialMT"/>
        </w:rPr>
        <w:t>presente inciso, sin perjuicio del alcance de las obligaci</w:t>
      </w:r>
      <w:r w:rsidR="00B70AF3">
        <w:rPr>
          <w:rFonts w:ascii="Arial Narrow" w:hAnsi="Arial Narrow" w:cs="ArialMT"/>
        </w:rPr>
        <w:t xml:space="preserve">ones a cargo de cada una de las </w:t>
      </w:r>
      <w:r w:rsidRPr="00F81994">
        <w:rPr>
          <w:rFonts w:ascii="Arial Narrow" w:hAnsi="Arial Narrow" w:cs="ArialMT"/>
        </w:rPr>
        <w:t xml:space="preserve">partes, de acuerdo con las previsiones legales pertinentes, </w:t>
      </w:r>
      <w:r w:rsidR="00B70AF3">
        <w:rPr>
          <w:rFonts w:ascii="Arial Narrow" w:hAnsi="Arial Narrow" w:cs="ArialMT"/>
        </w:rPr>
        <w:t xml:space="preserve">la naturaleza del contrato y el </w:t>
      </w:r>
      <w:r w:rsidRPr="00F81994">
        <w:rPr>
          <w:rFonts w:ascii="Arial Narrow" w:hAnsi="Arial Narrow" w:cs="ArialMT"/>
        </w:rPr>
        <w:t>contenido de las reglas de participación, considerando, preponderantemente</w:t>
      </w:r>
      <w:r w:rsidR="00B70AF3">
        <w:rPr>
          <w:rFonts w:ascii="Arial Narrow" w:hAnsi="Arial Narrow" w:cs="ArialMT"/>
        </w:rPr>
        <w:t xml:space="preserve">, que en </w:t>
      </w:r>
      <w:r w:rsidRPr="00F81994">
        <w:rPr>
          <w:rFonts w:ascii="Arial Narrow" w:hAnsi="Arial Narrow" w:cs="ArialMT"/>
        </w:rPr>
        <w:t>general, está a cargo del contratista la ejecución del</w:t>
      </w:r>
      <w:r w:rsidR="00B70AF3">
        <w:rPr>
          <w:rFonts w:ascii="Arial Narrow" w:hAnsi="Arial Narrow" w:cs="ArialMT"/>
        </w:rPr>
        <w:t xml:space="preserve"> contrato de conformidad con la </w:t>
      </w:r>
      <w:r w:rsidRPr="00F81994">
        <w:rPr>
          <w:rFonts w:ascii="Arial Narrow" w:hAnsi="Arial Narrow" w:cs="ArialMT"/>
        </w:rPr>
        <w:t>documentaci</w:t>
      </w:r>
      <w:r w:rsidR="00B70AF3">
        <w:rPr>
          <w:rFonts w:ascii="Arial Narrow" w:hAnsi="Arial Narrow" w:cs="ArialMT"/>
        </w:rPr>
        <w:t>ón té</w:t>
      </w:r>
      <w:r w:rsidR="00E40228">
        <w:rPr>
          <w:rFonts w:ascii="Arial Narrow" w:hAnsi="Arial Narrow" w:cs="ArialMT"/>
        </w:rPr>
        <w:t>cnica suministrada por la JEP</w:t>
      </w:r>
      <w:r w:rsidR="00B70AF3">
        <w:rPr>
          <w:rFonts w:ascii="Arial Narrow" w:hAnsi="Arial Narrow" w:cs="ArialMT"/>
        </w:rPr>
        <w:t xml:space="preserve">. </w:t>
      </w:r>
    </w:p>
    <w:p w:rsidR="00F81994" w:rsidRPr="00F81994" w:rsidRDefault="00F81994" w:rsidP="00F8199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:rsidR="004A3C5F" w:rsidRDefault="00B70AF3" w:rsidP="00B70A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>El PA-FCP</w:t>
      </w:r>
      <w:r w:rsidR="00F81994" w:rsidRPr="00F81994">
        <w:rPr>
          <w:rFonts w:ascii="Arial Narrow" w:hAnsi="Arial Narrow" w:cs="ArialMT"/>
        </w:rPr>
        <w:t xml:space="preserve"> y el proponente - con la presentación de su pr</w:t>
      </w:r>
      <w:r>
        <w:rPr>
          <w:rFonts w:ascii="Arial Narrow" w:hAnsi="Arial Narrow" w:cs="ArialMT"/>
        </w:rPr>
        <w:t xml:space="preserve">opuesta-, entienden como riesgo </w:t>
      </w:r>
      <w:r w:rsidR="00F81994" w:rsidRPr="00F81994">
        <w:rPr>
          <w:rFonts w:ascii="Arial Narrow" w:hAnsi="Arial Narrow" w:cs="ArialMT"/>
        </w:rPr>
        <w:t>contractual previsible aquel que reúne las siguientes c</w:t>
      </w:r>
      <w:r>
        <w:rPr>
          <w:rFonts w:ascii="Arial Narrow" w:hAnsi="Arial Narrow" w:cs="ArialMT"/>
        </w:rPr>
        <w:t xml:space="preserve">aracterísticas: </w:t>
      </w:r>
    </w:p>
    <w:p w:rsidR="009A5BA9" w:rsidRDefault="009A5BA9" w:rsidP="00B70A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4A3C5F" w:rsidRDefault="00B70AF3" w:rsidP="004A3C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A3C5F">
        <w:rPr>
          <w:rFonts w:ascii="Arial Narrow" w:hAnsi="Arial Narrow" w:cs="ArialMT"/>
        </w:rPr>
        <w:t xml:space="preserve">Su previsión se </w:t>
      </w:r>
      <w:r w:rsidR="00F81994" w:rsidRPr="004A3C5F">
        <w:rPr>
          <w:rFonts w:ascii="Arial Narrow" w:hAnsi="Arial Narrow" w:cs="ArialMT"/>
        </w:rPr>
        <w:t>sujeta a términos de racionalidad, considerando la experiencia del contratista e</w:t>
      </w:r>
      <w:r w:rsidRPr="004A3C5F">
        <w:rPr>
          <w:rFonts w:ascii="Arial Narrow" w:hAnsi="Arial Narrow" w:cs="ArialMT"/>
        </w:rPr>
        <w:t xml:space="preserve">n </w:t>
      </w:r>
      <w:r w:rsidR="00F81994" w:rsidRPr="004A3C5F">
        <w:rPr>
          <w:rFonts w:ascii="Arial Narrow" w:hAnsi="Arial Narrow" w:cs="ArialMT"/>
        </w:rPr>
        <w:t>proyectos similares a aquellos que constituyen el obj</w:t>
      </w:r>
      <w:r w:rsidRPr="004A3C5F">
        <w:rPr>
          <w:rFonts w:ascii="Arial Narrow" w:hAnsi="Arial Narrow" w:cs="ArialMT"/>
        </w:rPr>
        <w:t xml:space="preserve">eto del contrato. </w:t>
      </w:r>
    </w:p>
    <w:p w:rsidR="004A3C5F" w:rsidRDefault="00B70AF3" w:rsidP="004A3C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A3C5F">
        <w:rPr>
          <w:rFonts w:ascii="Arial Narrow" w:hAnsi="Arial Narrow" w:cs="ArialMT"/>
        </w:rPr>
        <w:t xml:space="preserve">Su concreción </w:t>
      </w:r>
      <w:r w:rsidR="00F81994" w:rsidRPr="004A3C5F">
        <w:rPr>
          <w:rFonts w:ascii="Arial Narrow" w:hAnsi="Arial Narrow" w:cs="ArialMT"/>
        </w:rPr>
        <w:t>comporta un daño patrimonial para una o ambas partes de</w:t>
      </w:r>
      <w:r w:rsidRPr="004A3C5F">
        <w:rPr>
          <w:rFonts w:ascii="Arial Narrow" w:hAnsi="Arial Narrow" w:cs="ArialMT"/>
        </w:rPr>
        <w:t xml:space="preserve"> la relación contractual. Es un </w:t>
      </w:r>
      <w:r w:rsidR="00F81994" w:rsidRPr="004A3C5F">
        <w:rPr>
          <w:rFonts w:ascii="Arial Narrow" w:hAnsi="Arial Narrow" w:cs="ArialMT"/>
        </w:rPr>
        <w:t>evento anterior, concomitante o posterior a la celebración del contrato. En caso d</w:t>
      </w:r>
      <w:r w:rsidRPr="004A3C5F">
        <w:rPr>
          <w:rFonts w:ascii="Arial Narrow" w:hAnsi="Arial Narrow" w:cs="ArialMT"/>
        </w:rPr>
        <w:t xml:space="preserve">e ser </w:t>
      </w:r>
      <w:r w:rsidR="00F81994" w:rsidRPr="004A3C5F">
        <w:rPr>
          <w:rFonts w:ascii="Arial Narrow" w:hAnsi="Arial Narrow" w:cs="ArialMT"/>
        </w:rPr>
        <w:t>anterior o concomitante, ninguna de las partes debe con</w:t>
      </w:r>
      <w:r w:rsidRPr="004A3C5F">
        <w:rPr>
          <w:rFonts w:ascii="Arial Narrow" w:hAnsi="Arial Narrow" w:cs="ArialMT"/>
        </w:rPr>
        <w:t xml:space="preserve">ocerlo y no puede predicarse la </w:t>
      </w:r>
      <w:r w:rsidR="00F81994" w:rsidRPr="004A3C5F">
        <w:rPr>
          <w:rFonts w:ascii="Arial Narrow" w:hAnsi="Arial Narrow" w:cs="ArialMT"/>
        </w:rPr>
        <w:t>obligación de conocimiento a ninguna de ellas por r</w:t>
      </w:r>
      <w:r w:rsidRPr="004A3C5F">
        <w:rPr>
          <w:rFonts w:ascii="Arial Narrow" w:hAnsi="Arial Narrow" w:cs="ArialMT"/>
        </w:rPr>
        <w:t xml:space="preserve">azones tales como su experticia </w:t>
      </w:r>
      <w:r w:rsidR="00F81994" w:rsidRPr="004A3C5F">
        <w:rPr>
          <w:rFonts w:ascii="Arial Narrow" w:hAnsi="Arial Narrow" w:cs="ArialMT"/>
        </w:rPr>
        <w:t xml:space="preserve">técnica o profesional, su experiencia corporativa o personal o sus indagaciones </w:t>
      </w:r>
      <w:r w:rsidRPr="004A3C5F">
        <w:rPr>
          <w:rFonts w:ascii="Arial Narrow" w:hAnsi="Arial Narrow" w:cs="ArialMT"/>
        </w:rPr>
        <w:t xml:space="preserve">previas </w:t>
      </w:r>
      <w:r w:rsidR="00F81994" w:rsidRPr="004A3C5F">
        <w:rPr>
          <w:rFonts w:ascii="Arial Narrow" w:hAnsi="Arial Narrow" w:cs="ArialMT"/>
        </w:rPr>
        <w:t xml:space="preserve">particulares. </w:t>
      </w:r>
    </w:p>
    <w:p w:rsidR="00F81994" w:rsidRPr="004A3C5F" w:rsidRDefault="00F81994" w:rsidP="00B70A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A3C5F">
        <w:rPr>
          <w:rFonts w:ascii="Arial Narrow" w:hAnsi="Arial Narrow" w:cs="ArialMT"/>
        </w:rPr>
        <w:t>Su concreción o conocimiento debe present</w:t>
      </w:r>
      <w:r w:rsidR="00B70AF3" w:rsidRPr="004A3C5F">
        <w:rPr>
          <w:rFonts w:ascii="Arial Narrow" w:hAnsi="Arial Narrow" w:cs="ArialMT"/>
        </w:rPr>
        <w:t xml:space="preserve">arse durante la ejecución de la </w:t>
      </w:r>
      <w:r w:rsidRPr="004A3C5F">
        <w:rPr>
          <w:rFonts w:ascii="Arial Narrow" w:hAnsi="Arial Narrow" w:cs="ArialMT"/>
        </w:rPr>
        <w:t>relación contractual o luego de su terminación, siempre que, para este último caso, se</w:t>
      </w:r>
      <w:r w:rsidR="004A3C5F">
        <w:rPr>
          <w:rFonts w:ascii="Arial Narrow" w:hAnsi="Arial Narrow" w:cs="ArialMT"/>
        </w:rPr>
        <w:t xml:space="preserve"> </w:t>
      </w:r>
      <w:r w:rsidRPr="004A3C5F">
        <w:rPr>
          <w:rFonts w:ascii="Arial Narrow" w:hAnsi="Arial Narrow" w:cs="ArialMT"/>
        </w:rPr>
        <w:t>encuentren pendientes de cumplimiento algunas de las obligaciones que de e</w:t>
      </w:r>
      <w:r w:rsidR="00B70AF3" w:rsidRPr="004A3C5F">
        <w:rPr>
          <w:rFonts w:ascii="Arial Narrow" w:hAnsi="Arial Narrow" w:cs="ArialMT"/>
        </w:rPr>
        <w:t xml:space="preserve">lla </w:t>
      </w:r>
      <w:r w:rsidRPr="004A3C5F">
        <w:rPr>
          <w:rFonts w:ascii="Arial Narrow" w:hAnsi="Arial Narrow" w:cs="ArialMT"/>
        </w:rPr>
        <w:t>emanaron.</w:t>
      </w:r>
    </w:p>
    <w:p w:rsidR="00B70AF3" w:rsidRDefault="00B70AF3" w:rsidP="00F8199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:rsidR="00F81994" w:rsidRDefault="001318BA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lastRenderedPageBreak/>
        <w:t xml:space="preserve">El PA-FCP </w:t>
      </w:r>
      <w:r w:rsidR="00F81994" w:rsidRPr="00F81994">
        <w:rPr>
          <w:rFonts w:ascii="Arial Narrow" w:hAnsi="Arial Narrow" w:cs="ArialMT"/>
        </w:rPr>
        <w:t>ha agrupado los riesgos contractuales previsibles en divers</w:t>
      </w:r>
      <w:r>
        <w:rPr>
          <w:rFonts w:ascii="Arial Narrow" w:hAnsi="Arial Narrow" w:cs="ArialMT"/>
        </w:rPr>
        <w:t xml:space="preserve">as </w:t>
      </w:r>
      <w:r w:rsidR="00F81994" w:rsidRPr="00F81994">
        <w:rPr>
          <w:rFonts w:ascii="Arial Narrow" w:hAnsi="Arial Narrow" w:cs="ArialMT"/>
        </w:rPr>
        <w:t>categorías generales que podrían afectar la consecución, e</w:t>
      </w:r>
      <w:r>
        <w:rPr>
          <w:rFonts w:ascii="Arial Narrow" w:hAnsi="Arial Narrow" w:cs="ArialMT"/>
        </w:rPr>
        <w:t xml:space="preserve">n los términos pactados, de las </w:t>
      </w:r>
      <w:r w:rsidR="00F81994" w:rsidRPr="00F81994">
        <w:rPr>
          <w:rFonts w:ascii="Arial Narrow" w:hAnsi="Arial Narrow" w:cs="ArialMT"/>
        </w:rPr>
        <w:t>finalidades contractuales, así:</w:t>
      </w:r>
    </w:p>
    <w:p w:rsidR="001318BA" w:rsidRPr="00F81994" w:rsidRDefault="001318BA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Pr="001318BA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1318BA">
        <w:rPr>
          <w:rFonts w:ascii="Arial Narrow" w:hAnsi="Arial Narrow" w:cs="ArialMT"/>
        </w:rPr>
        <w:t>Riesgos ambientales y geográficos Los riesgo</w:t>
      </w:r>
      <w:r w:rsidR="001318BA" w:rsidRPr="001318BA">
        <w:rPr>
          <w:rFonts w:ascii="Arial Narrow" w:hAnsi="Arial Narrow" w:cs="ArialMT"/>
        </w:rPr>
        <w:t xml:space="preserve">s ambientales y geográficos son </w:t>
      </w:r>
      <w:r w:rsidRPr="001318BA">
        <w:rPr>
          <w:rFonts w:ascii="Arial Narrow" w:hAnsi="Arial Narrow" w:cs="ArialMT"/>
        </w:rPr>
        <w:t>aquellos del medio ambiente que puedan incidir en e</w:t>
      </w:r>
      <w:r w:rsidR="001318BA" w:rsidRPr="001318BA">
        <w:rPr>
          <w:rFonts w:ascii="Arial Narrow" w:hAnsi="Arial Narrow" w:cs="ArialMT"/>
        </w:rPr>
        <w:t xml:space="preserve">l cumplimiento del objeto </w:t>
      </w:r>
      <w:r w:rsidRPr="001318BA">
        <w:rPr>
          <w:rFonts w:ascii="Arial Narrow" w:hAnsi="Arial Narrow" w:cs="ArialMT"/>
        </w:rPr>
        <w:t>contractual.</w:t>
      </w:r>
    </w:p>
    <w:p w:rsidR="001318BA" w:rsidRDefault="001318BA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1318BA" w:rsidRPr="00F81994" w:rsidRDefault="001318BA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1318BA">
        <w:rPr>
          <w:rFonts w:ascii="Arial Narrow" w:hAnsi="Arial Narrow" w:cs="ArialMT"/>
        </w:rPr>
        <w:t>Riesgos de movilidad y transporte Los riesgos de movilidad y transporte incluirán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limitaciones de medios de acceso y/o transporte de las personas o los bienes para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el cumplimiento del objeto contractual.</w:t>
      </w:r>
    </w:p>
    <w:p w:rsidR="001318BA" w:rsidRPr="001318BA" w:rsidRDefault="001318BA" w:rsidP="004518E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</w:rPr>
      </w:pPr>
    </w:p>
    <w:p w:rsidR="00F81994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1318BA">
        <w:rPr>
          <w:rFonts w:ascii="Arial Narrow" w:hAnsi="Arial Narrow" w:cs="ArialMT"/>
        </w:rPr>
        <w:t>Riesgos regulatorios</w:t>
      </w:r>
      <w:r w:rsidR="001318BA" w:rsidRPr="001318BA">
        <w:rPr>
          <w:rFonts w:ascii="Arial Narrow" w:hAnsi="Arial Narrow" w:cs="ArialMT"/>
        </w:rPr>
        <w:t>.</w:t>
      </w:r>
      <w:r w:rsidRPr="001318BA">
        <w:rPr>
          <w:rFonts w:ascii="Arial Narrow" w:hAnsi="Arial Narrow" w:cs="ArialMT"/>
        </w:rPr>
        <w:t xml:space="preserve"> Las amenazas regulatorias incluirán aquellos eventos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relacionados con variaciones normativas de obligatorio cumplimiento para una o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ambas partes, que incidan en el costo del proyecto.</w:t>
      </w:r>
    </w:p>
    <w:p w:rsidR="001318BA" w:rsidRPr="001318BA" w:rsidRDefault="001318BA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1318BA">
        <w:rPr>
          <w:rFonts w:ascii="Arial Narrow" w:hAnsi="Arial Narrow" w:cs="ArialMT"/>
        </w:rPr>
        <w:t>Riesgos financieros Las amenazas financieras incluirán aquellos eventos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relacionados con las variaciones de las tasas de interés, de las tasas de cambio,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del costo de los insumos con precio no regulado, así como con las variaciones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salariales no ordenadas por el Gobierno Nacional, de los costos de transporte de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personas o insumos y, en fin, con todas aquellas situaciones del mercado</w:t>
      </w:r>
      <w:r w:rsidR="001318BA">
        <w:rPr>
          <w:rFonts w:ascii="Arial Narrow" w:hAnsi="Arial Narrow" w:cs="ArialMT"/>
        </w:rPr>
        <w:t xml:space="preserve"> </w:t>
      </w:r>
      <w:r w:rsidRPr="001318BA">
        <w:rPr>
          <w:rFonts w:ascii="Arial Narrow" w:hAnsi="Arial Narrow" w:cs="ArialMT"/>
        </w:rPr>
        <w:t>internacional, nacional o local que incidan en el costo del proyecto.</w:t>
      </w:r>
    </w:p>
    <w:p w:rsidR="001318BA" w:rsidRPr="001318BA" w:rsidRDefault="001318BA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Pr="004518EF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518EF">
        <w:rPr>
          <w:rFonts w:ascii="Arial Narrow" w:hAnsi="Arial Narrow" w:cs="ArialMT"/>
        </w:rPr>
        <w:t>Riesgos de orden público y seguridad Los rie</w:t>
      </w:r>
      <w:r w:rsidR="004518EF" w:rsidRPr="004518EF">
        <w:rPr>
          <w:rFonts w:ascii="Arial Narrow" w:hAnsi="Arial Narrow" w:cs="ArialMT"/>
        </w:rPr>
        <w:t xml:space="preserve">sgos de orden público incluirán </w:t>
      </w:r>
      <w:r w:rsidRPr="004518EF">
        <w:rPr>
          <w:rFonts w:ascii="Arial Narrow" w:hAnsi="Arial Narrow" w:cs="ArialMT"/>
        </w:rPr>
        <w:t>aquellos eventos relacionados con actos de gru</w:t>
      </w:r>
      <w:r w:rsidR="004518EF" w:rsidRPr="004518EF">
        <w:rPr>
          <w:rFonts w:ascii="Arial Narrow" w:hAnsi="Arial Narrow" w:cs="ArialMT"/>
        </w:rPr>
        <w:t xml:space="preserve">pos armados al margen de la ley </w:t>
      </w:r>
      <w:r w:rsidRPr="004518EF">
        <w:rPr>
          <w:rFonts w:ascii="Arial Narrow" w:hAnsi="Arial Narrow" w:cs="ArialMT"/>
        </w:rPr>
        <w:t>que puedan incidir en el cumplimiento del objeto contractual.</w:t>
      </w:r>
    </w:p>
    <w:p w:rsidR="004518EF" w:rsidRPr="00F81994" w:rsidRDefault="004518EF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Pr="004518EF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518EF">
        <w:rPr>
          <w:rFonts w:ascii="Arial Narrow" w:hAnsi="Arial Narrow" w:cs="ArialMT"/>
        </w:rPr>
        <w:t>Riesgos asociados al alcance del contrato Las am</w:t>
      </w:r>
      <w:r w:rsidR="004518EF" w:rsidRPr="004518EF">
        <w:rPr>
          <w:rFonts w:ascii="Arial Narrow" w:hAnsi="Arial Narrow" w:cs="ArialMT"/>
        </w:rPr>
        <w:t xml:space="preserve">enazas asociadas al alcance del </w:t>
      </w:r>
      <w:r w:rsidRPr="004518EF">
        <w:rPr>
          <w:rFonts w:ascii="Arial Narrow" w:hAnsi="Arial Narrow" w:cs="ArialMT"/>
        </w:rPr>
        <w:t>contrato incluirán los desplazamientos adicionales al</w:t>
      </w:r>
      <w:r w:rsidR="004518EF" w:rsidRPr="004518EF">
        <w:rPr>
          <w:rFonts w:ascii="Arial Narrow" w:hAnsi="Arial Narrow" w:cs="ArialMT"/>
        </w:rPr>
        <w:t xml:space="preserve"> sitio del proyecto para cubrir </w:t>
      </w:r>
      <w:r w:rsidRPr="004518EF">
        <w:rPr>
          <w:rFonts w:ascii="Arial Narrow" w:hAnsi="Arial Narrow" w:cs="ArialMT"/>
        </w:rPr>
        <w:t>el alcance del contrato.</w:t>
      </w:r>
    </w:p>
    <w:p w:rsidR="004518EF" w:rsidRPr="00F81994" w:rsidRDefault="004518EF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518EF">
        <w:rPr>
          <w:rFonts w:ascii="Arial Narrow" w:hAnsi="Arial Narrow" w:cs="ArialMT"/>
        </w:rPr>
        <w:t>Niveles de decisión y aprobación Cambios en los niveles aprobatorios del cliente o</w:t>
      </w:r>
      <w:r w:rsidR="004518EF">
        <w:rPr>
          <w:rFonts w:ascii="Arial Narrow" w:hAnsi="Arial Narrow" w:cs="ArialMT"/>
        </w:rPr>
        <w:t xml:space="preserve"> </w:t>
      </w:r>
      <w:r w:rsidRPr="004518EF">
        <w:rPr>
          <w:rFonts w:ascii="Arial Narrow" w:hAnsi="Arial Narrow" w:cs="ArialMT"/>
        </w:rPr>
        <w:t>comités de aprobación.</w:t>
      </w:r>
    </w:p>
    <w:p w:rsidR="004518EF" w:rsidRPr="004518EF" w:rsidRDefault="004518EF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4518EF" w:rsidRPr="004518EF" w:rsidRDefault="00F81994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518EF">
        <w:rPr>
          <w:rFonts w:ascii="Arial Narrow" w:hAnsi="Arial Narrow" w:cs="ArialMT"/>
        </w:rPr>
        <w:t>Responsabilidades con terceros Riesgos aso</w:t>
      </w:r>
      <w:r w:rsidR="004518EF" w:rsidRPr="004518EF">
        <w:rPr>
          <w:rFonts w:ascii="Arial Narrow" w:hAnsi="Arial Narrow" w:cs="ArialMT"/>
        </w:rPr>
        <w:t xml:space="preserve">ciados a cualquier posible daño </w:t>
      </w:r>
      <w:r w:rsidRPr="004518EF">
        <w:rPr>
          <w:rFonts w:ascii="Arial Narrow" w:hAnsi="Arial Narrow" w:cs="ArialMT"/>
        </w:rPr>
        <w:t xml:space="preserve">causado a terceros o daños causados a bienes o propiedades de terceros. </w:t>
      </w:r>
    </w:p>
    <w:p w:rsidR="004518EF" w:rsidRDefault="004518EF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Pr="004518EF" w:rsidRDefault="004518EF" w:rsidP="004518E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518EF">
        <w:rPr>
          <w:rFonts w:ascii="Arial Narrow" w:hAnsi="Arial Narrow" w:cs="ArialMT"/>
        </w:rPr>
        <w:t xml:space="preserve"> </w:t>
      </w:r>
      <w:r w:rsidR="00F81994" w:rsidRPr="004518EF">
        <w:rPr>
          <w:rFonts w:ascii="Arial Narrow" w:hAnsi="Arial Narrow" w:cs="ArialMT"/>
        </w:rPr>
        <w:t>Riesgos asociados a la información Riesgos asociados a la calidad, manejo y</w:t>
      </w:r>
      <w:r>
        <w:rPr>
          <w:rFonts w:ascii="Arial Narrow" w:hAnsi="Arial Narrow" w:cs="ArialMT"/>
        </w:rPr>
        <w:t xml:space="preserve"> </w:t>
      </w:r>
      <w:r w:rsidR="00F81994" w:rsidRPr="004518EF">
        <w:rPr>
          <w:rFonts w:ascii="Arial Narrow" w:hAnsi="Arial Narrow" w:cs="ArialMT"/>
        </w:rPr>
        <w:t>oportunidad de la información suministrada.</w:t>
      </w:r>
    </w:p>
    <w:p w:rsidR="004518EF" w:rsidRDefault="004518EF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</w:p>
    <w:p w:rsidR="00F81994" w:rsidRPr="004518EF" w:rsidRDefault="00F81994" w:rsidP="004518E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4518EF">
        <w:rPr>
          <w:rFonts w:ascii="Arial Narrow" w:hAnsi="Arial Narrow" w:cs="ArialMT"/>
        </w:rPr>
        <w:t>Estimación: Los riesgos previsibles se estimarán como poco probabl</w:t>
      </w:r>
      <w:r w:rsidR="004518EF" w:rsidRPr="004518EF">
        <w:rPr>
          <w:rFonts w:ascii="Arial Narrow" w:hAnsi="Arial Narrow" w:cs="ArialMT"/>
        </w:rPr>
        <w:t xml:space="preserve">es, </w:t>
      </w:r>
      <w:r w:rsidRPr="004518EF">
        <w:rPr>
          <w:rFonts w:ascii="Arial Narrow" w:hAnsi="Arial Narrow" w:cs="ArialMT"/>
        </w:rPr>
        <w:t>probables o muy probables, de acuerdo con l</w:t>
      </w:r>
      <w:r w:rsidR="004518EF" w:rsidRPr="004518EF">
        <w:rPr>
          <w:rFonts w:ascii="Arial Narrow" w:hAnsi="Arial Narrow" w:cs="ArialMT"/>
        </w:rPr>
        <w:t xml:space="preserve">a mayor o menor probabilidad de </w:t>
      </w:r>
      <w:r w:rsidRPr="004518EF">
        <w:rPr>
          <w:rFonts w:ascii="Arial Narrow" w:hAnsi="Arial Narrow" w:cs="ArialMT"/>
        </w:rPr>
        <w:t>su ocurrencia.</w:t>
      </w:r>
    </w:p>
    <w:p w:rsidR="004518EF" w:rsidRPr="004518EF" w:rsidRDefault="004518EF" w:rsidP="004518E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MT"/>
        </w:rPr>
      </w:pPr>
    </w:p>
    <w:p w:rsidR="00EB79A3" w:rsidRPr="004518EF" w:rsidRDefault="00F81994" w:rsidP="00451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F81994">
        <w:rPr>
          <w:rFonts w:ascii="Arial Narrow" w:hAnsi="Arial Narrow" w:cs="ArialMT"/>
        </w:rPr>
        <w:t xml:space="preserve">3. </w:t>
      </w:r>
      <w:r w:rsidR="004518EF">
        <w:rPr>
          <w:rFonts w:ascii="Arial Narrow" w:hAnsi="Arial Narrow" w:cs="ArialMT"/>
        </w:rPr>
        <w:t xml:space="preserve"> </w:t>
      </w:r>
      <w:r w:rsidRPr="00F81994">
        <w:rPr>
          <w:rFonts w:ascii="Arial Narrow" w:hAnsi="Arial Narrow" w:cs="ArialMT"/>
        </w:rPr>
        <w:t>Asignación: Es el resultado de la tipificac</w:t>
      </w:r>
      <w:r w:rsidR="004518EF">
        <w:rPr>
          <w:rFonts w:ascii="Arial Narrow" w:hAnsi="Arial Narrow" w:cs="ArialMT"/>
        </w:rPr>
        <w:t xml:space="preserve">ión y estimación de los riesgos </w:t>
      </w:r>
      <w:r w:rsidRPr="00F81994">
        <w:rPr>
          <w:rFonts w:ascii="Arial Narrow" w:hAnsi="Arial Narrow" w:cs="ArialMT"/>
        </w:rPr>
        <w:t xml:space="preserve">previsibles con el objeto de que sean </w:t>
      </w:r>
      <w:r w:rsidR="004518EF">
        <w:rPr>
          <w:rFonts w:ascii="Arial Narrow" w:hAnsi="Arial Narrow" w:cs="ArialMT"/>
        </w:rPr>
        <w:t xml:space="preserve">gestionados eficientemente y de </w:t>
      </w:r>
      <w:r w:rsidRPr="00F81994">
        <w:rPr>
          <w:rFonts w:ascii="Arial Narrow" w:hAnsi="Arial Narrow" w:cs="ArialMT"/>
        </w:rPr>
        <w:t>establecer cuál de las partes soportará la</w:t>
      </w:r>
      <w:r w:rsidR="004518EF">
        <w:rPr>
          <w:rFonts w:ascii="Arial Narrow" w:hAnsi="Arial Narrow" w:cs="ArialMT"/>
        </w:rPr>
        <w:t xml:space="preserve">s consecuencias negativas de su </w:t>
      </w:r>
      <w:r w:rsidRPr="00F81994">
        <w:rPr>
          <w:rFonts w:ascii="Arial Narrow" w:hAnsi="Arial Narrow" w:cs="ArialMT"/>
        </w:rPr>
        <w:t>concreción.</w:t>
      </w:r>
    </w:p>
    <w:p w:rsidR="00F81994" w:rsidRDefault="00F81994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523F2" w:rsidTr="006523F2">
        <w:tc>
          <w:tcPr>
            <w:tcW w:w="1765" w:type="dxa"/>
          </w:tcPr>
          <w:p w:rsidR="006523F2" w:rsidRPr="006523F2" w:rsidRDefault="006523F2" w:rsidP="0065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TIPO DE RIESGO</w:t>
            </w:r>
          </w:p>
        </w:tc>
        <w:tc>
          <w:tcPr>
            <w:tcW w:w="1765" w:type="dxa"/>
          </w:tcPr>
          <w:p w:rsidR="006523F2" w:rsidRPr="006523F2" w:rsidRDefault="006523F2" w:rsidP="0065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DESCRIPCIÓN </w:t>
            </w:r>
          </w:p>
        </w:tc>
        <w:tc>
          <w:tcPr>
            <w:tcW w:w="1766" w:type="dxa"/>
          </w:tcPr>
          <w:p w:rsidR="006523F2" w:rsidRPr="006523F2" w:rsidRDefault="006523F2" w:rsidP="0065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ESTIMACIÓN </w:t>
            </w:r>
          </w:p>
        </w:tc>
        <w:tc>
          <w:tcPr>
            <w:tcW w:w="1766" w:type="dxa"/>
          </w:tcPr>
          <w:p w:rsidR="006523F2" w:rsidRPr="006523F2" w:rsidRDefault="006523F2" w:rsidP="0065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IMPACTO</w:t>
            </w:r>
          </w:p>
        </w:tc>
        <w:tc>
          <w:tcPr>
            <w:tcW w:w="1766" w:type="dxa"/>
          </w:tcPr>
          <w:p w:rsidR="006523F2" w:rsidRPr="006523F2" w:rsidRDefault="006523F2" w:rsidP="0065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ASIGNACIÓN </w:t>
            </w:r>
          </w:p>
        </w:tc>
      </w:tr>
      <w:tr w:rsidR="006523F2" w:rsidTr="006523F2">
        <w:tc>
          <w:tcPr>
            <w:tcW w:w="1765" w:type="dxa"/>
          </w:tcPr>
          <w:p w:rsidR="006523F2" w:rsidRDefault="00BC04AD" w:rsidP="00D473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Riesgos asociados al alcance de la prestación del servicio.</w:t>
            </w:r>
          </w:p>
        </w:tc>
        <w:tc>
          <w:tcPr>
            <w:tcW w:w="1765" w:type="dxa"/>
          </w:tcPr>
          <w:p w:rsidR="006523F2" w:rsidRDefault="00AA41AA" w:rsidP="00D473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Pérdida o daño de los bienes de la JEP.</w:t>
            </w:r>
          </w:p>
        </w:tc>
        <w:tc>
          <w:tcPr>
            <w:tcW w:w="1766" w:type="dxa"/>
          </w:tcPr>
          <w:p w:rsidR="00D473E4" w:rsidRDefault="00D473E4" w:rsidP="00D473E4">
            <w:pPr>
              <w:jc w:val="center"/>
              <w:rPr>
                <w:rFonts w:ascii="Arial Narrow" w:hAnsi="Arial Narrow"/>
              </w:rPr>
            </w:pPr>
          </w:p>
          <w:p w:rsidR="006523F2" w:rsidRDefault="00D473E4" w:rsidP="00D473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Poco probable</w:t>
            </w:r>
          </w:p>
        </w:tc>
        <w:tc>
          <w:tcPr>
            <w:tcW w:w="1766" w:type="dxa"/>
          </w:tcPr>
          <w:p w:rsidR="00D473E4" w:rsidRDefault="00D473E4" w:rsidP="00D473E4">
            <w:pPr>
              <w:jc w:val="center"/>
              <w:rPr>
                <w:rFonts w:ascii="Arial Narrow" w:hAnsi="Arial Narrow"/>
              </w:rPr>
            </w:pPr>
          </w:p>
          <w:p w:rsidR="006523F2" w:rsidRDefault="00D473E4" w:rsidP="00D473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Alto</w:t>
            </w:r>
          </w:p>
        </w:tc>
        <w:tc>
          <w:tcPr>
            <w:tcW w:w="1766" w:type="dxa"/>
          </w:tcPr>
          <w:p w:rsidR="00D473E4" w:rsidRDefault="00D473E4" w:rsidP="00D473E4">
            <w:pPr>
              <w:jc w:val="center"/>
              <w:rPr>
                <w:rFonts w:ascii="Arial Narrow" w:hAnsi="Arial Narrow"/>
              </w:rPr>
            </w:pPr>
          </w:p>
          <w:p w:rsidR="006523F2" w:rsidRDefault="00D473E4" w:rsidP="00D473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Contratista</w:t>
            </w:r>
          </w:p>
        </w:tc>
      </w:tr>
      <w:tr w:rsidR="006523F2" w:rsidTr="006523F2">
        <w:tc>
          <w:tcPr>
            <w:tcW w:w="1765" w:type="dxa"/>
          </w:tcPr>
          <w:p w:rsidR="00D41692" w:rsidRDefault="00D41692" w:rsidP="00A97A70">
            <w:pPr>
              <w:jc w:val="center"/>
              <w:rPr>
                <w:rFonts w:ascii="Arial Narrow" w:hAnsi="Arial Narrow"/>
              </w:rPr>
            </w:pPr>
          </w:p>
          <w:p w:rsidR="006523F2" w:rsidRDefault="00A97A70" w:rsidP="00A97A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Riesgos asociados al alcance de la ejecución del contrato.</w:t>
            </w:r>
          </w:p>
        </w:tc>
        <w:tc>
          <w:tcPr>
            <w:tcW w:w="1765" w:type="dxa"/>
          </w:tcPr>
          <w:p w:rsidR="006523F2" w:rsidRDefault="00A97A70" w:rsidP="0009463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Retraso o no prestación del </w:t>
            </w:r>
            <w:r>
              <w:rPr>
                <w:rFonts w:ascii="Arial Narrow" w:hAnsi="Arial Narrow"/>
              </w:rPr>
              <w:lastRenderedPageBreak/>
              <w:t xml:space="preserve">servicio – Poner en riesgo la seguridad de la JEP. 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AE3A09" w:rsidRDefault="00AE3A09">
            <w:pPr>
              <w:rPr>
                <w:rFonts w:ascii="Arial Narrow" w:hAnsi="Arial Narrow"/>
              </w:rPr>
            </w:pPr>
          </w:p>
          <w:p w:rsidR="00AE3A09" w:rsidRDefault="00AE3A09" w:rsidP="00AE3A09">
            <w:pPr>
              <w:jc w:val="center"/>
              <w:rPr>
                <w:rFonts w:ascii="Arial Narrow" w:hAnsi="Arial Narrow"/>
              </w:rPr>
            </w:pPr>
          </w:p>
          <w:p w:rsidR="00AE3A09" w:rsidRDefault="00AE3A09" w:rsidP="00AE3A0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Probable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AE3A09" w:rsidRDefault="00AE3A09">
            <w:pPr>
              <w:rPr>
                <w:rFonts w:ascii="Arial Narrow" w:hAnsi="Arial Narrow"/>
              </w:rPr>
            </w:pPr>
          </w:p>
          <w:p w:rsidR="00AE3A09" w:rsidRDefault="00AE3A09">
            <w:pPr>
              <w:rPr>
                <w:rFonts w:ascii="Arial Narrow" w:hAnsi="Arial Narrow"/>
              </w:rPr>
            </w:pPr>
          </w:p>
          <w:p w:rsidR="00AE3A09" w:rsidRDefault="00AE3A09" w:rsidP="00AE3A0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Alto </w:t>
            </w:r>
          </w:p>
        </w:tc>
        <w:tc>
          <w:tcPr>
            <w:tcW w:w="1766" w:type="dxa"/>
          </w:tcPr>
          <w:p w:rsidR="006523F2" w:rsidRDefault="006523F2" w:rsidP="00AE3A09">
            <w:pPr>
              <w:jc w:val="center"/>
              <w:rPr>
                <w:rFonts w:ascii="Arial Narrow" w:hAnsi="Arial Narrow"/>
              </w:rPr>
            </w:pPr>
          </w:p>
          <w:p w:rsidR="00AE3A09" w:rsidRDefault="00AE3A09" w:rsidP="00AE3A09">
            <w:pPr>
              <w:jc w:val="center"/>
              <w:rPr>
                <w:rFonts w:ascii="Arial Narrow" w:hAnsi="Arial Narrow"/>
              </w:rPr>
            </w:pPr>
          </w:p>
          <w:p w:rsidR="00AE3A09" w:rsidRDefault="00AE3A09" w:rsidP="00AE3A09">
            <w:pPr>
              <w:jc w:val="center"/>
              <w:rPr>
                <w:rFonts w:ascii="Arial Narrow" w:hAnsi="Arial Narrow"/>
              </w:rPr>
            </w:pPr>
          </w:p>
          <w:p w:rsidR="00AE3A09" w:rsidRDefault="00AE3A09" w:rsidP="00AE3A0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Contratista</w:t>
            </w:r>
          </w:p>
        </w:tc>
      </w:tr>
      <w:tr w:rsidR="006523F2" w:rsidTr="006523F2">
        <w:tc>
          <w:tcPr>
            <w:tcW w:w="1765" w:type="dxa"/>
          </w:tcPr>
          <w:p w:rsidR="006523F2" w:rsidRDefault="00900B06" w:rsidP="00900B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Riesgos asociados a los aspectos regulatorios</w:t>
            </w:r>
          </w:p>
        </w:tc>
        <w:tc>
          <w:tcPr>
            <w:tcW w:w="1765" w:type="dxa"/>
          </w:tcPr>
          <w:p w:rsidR="006523F2" w:rsidRDefault="00900B06" w:rsidP="00900B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Cambios en la normatividad y en la fijación de las tarifas que soportan el valor de la prestación del servicio. 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900B06" w:rsidRDefault="00900B06">
            <w:pPr>
              <w:rPr>
                <w:rFonts w:ascii="Arial Narrow" w:hAnsi="Arial Narrow"/>
              </w:rPr>
            </w:pPr>
          </w:p>
          <w:p w:rsidR="00900B06" w:rsidRDefault="00900B06" w:rsidP="00900B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Probable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900B06" w:rsidRDefault="00900B06">
            <w:pPr>
              <w:rPr>
                <w:rFonts w:ascii="Arial Narrow" w:hAnsi="Arial Narrow"/>
              </w:rPr>
            </w:pPr>
          </w:p>
          <w:p w:rsidR="00900B06" w:rsidRDefault="00900B06" w:rsidP="00900B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Medio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900B06" w:rsidRDefault="00900B06">
            <w:pPr>
              <w:rPr>
                <w:rFonts w:ascii="Arial Narrow" w:hAnsi="Arial Narrow"/>
              </w:rPr>
            </w:pPr>
          </w:p>
          <w:p w:rsidR="00900B06" w:rsidRDefault="00900B06" w:rsidP="00900B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Contratista y PA-FCP</w:t>
            </w:r>
          </w:p>
        </w:tc>
      </w:tr>
      <w:tr w:rsidR="006523F2" w:rsidTr="006523F2">
        <w:tc>
          <w:tcPr>
            <w:tcW w:w="1765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2849C1" w:rsidRDefault="002849C1">
            <w:pPr>
              <w:rPr>
                <w:rFonts w:ascii="Arial Narrow" w:hAnsi="Arial Narrow"/>
              </w:rPr>
            </w:pPr>
          </w:p>
          <w:p w:rsidR="002849C1" w:rsidRDefault="002849C1">
            <w:pPr>
              <w:rPr>
                <w:rFonts w:ascii="Arial Narrow" w:hAnsi="Arial Narrow"/>
              </w:rPr>
            </w:pPr>
          </w:p>
          <w:p w:rsidR="002849C1" w:rsidRDefault="002849C1">
            <w:pPr>
              <w:rPr>
                <w:rFonts w:ascii="Arial Narrow" w:hAnsi="Arial Narrow"/>
              </w:rPr>
            </w:pPr>
          </w:p>
          <w:p w:rsidR="009E605E" w:rsidRDefault="002849C1" w:rsidP="002849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Riesgo ambiental y geográfico </w:t>
            </w:r>
          </w:p>
          <w:p w:rsidR="009E605E" w:rsidRDefault="009E605E">
            <w:pPr>
              <w:rPr>
                <w:rFonts w:ascii="Arial Narrow" w:hAnsi="Arial Narrow"/>
              </w:rPr>
            </w:pPr>
          </w:p>
        </w:tc>
        <w:tc>
          <w:tcPr>
            <w:tcW w:w="1765" w:type="dxa"/>
          </w:tcPr>
          <w:p w:rsidR="006523F2" w:rsidRDefault="002849C1" w:rsidP="002849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Existencia de condiciones climáticas, ambientales o geográficas anormales que generen retraso, dificultad o imposibilidad de ejecutar el contrato.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094637" w:rsidP="009904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Poco </w:t>
            </w:r>
            <w:r w:rsidR="009904C5">
              <w:rPr>
                <w:rFonts w:ascii="Arial Narrow" w:hAnsi="Arial Narrow"/>
              </w:rPr>
              <w:t>Probable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 w:rsidP="009904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Alto</w:t>
            </w:r>
          </w:p>
        </w:tc>
        <w:tc>
          <w:tcPr>
            <w:tcW w:w="1766" w:type="dxa"/>
          </w:tcPr>
          <w:p w:rsidR="006523F2" w:rsidRDefault="006523F2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>
            <w:pPr>
              <w:rPr>
                <w:rFonts w:ascii="Arial Narrow" w:hAnsi="Arial Narrow"/>
              </w:rPr>
            </w:pPr>
          </w:p>
          <w:p w:rsidR="009904C5" w:rsidRDefault="009904C5" w:rsidP="009904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Contratista</w:t>
            </w:r>
          </w:p>
        </w:tc>
      </w:tr>
      <w:tr w:rsidR="006523F2" w:rsidTr="006523F2">
        <w:tc>
          <w:tcPr>
            <w:tcW w:w="1765" w:type="dxa"/>
          </w:tcPr>
          <w:p w:rsidR="009E037D" w:rsidRDefault="009E037D">
            <w:pPr>
              <w:rPr>
                <w:rFonts w:ascii="Arial Narrow" w:hAnsi="Arial Narrow"/>
              </w:rPr>
            </w:pPr>
          </w:p>
          <w:p w:rsidR="009E037D" w:rsidRDefault="009E037D">
            <w:pPr>
              <w:rPr>
                <w:rFonts w:ascii="Arial Narrow" w:hAnsi="Arial Narrow"/>
              </w:rPr>
            </w:pPr>
          </w:p>
          <w:p w:rsidR="006523F2" w:rsidRDefault="009E037D" w:rsidP="005365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Riesgos asociados al orden social</w:t>
            </w:r>
          </w:p>
        </w:tc>
        <w:tc>
          <w:tcPr>
            <w:tcW w:w="1765" w:type="dxa"/>
          </w:tcPr>
          <w:p w:rsidR="006523F2" w:rsidRDefault="009E037D" w:rsidP="009E03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Inconvenientes en la ejecución del objeto contractual a causa de bloqueos, manifestaciones, vandalismos y actos terroristas.</w:t>
            </w:r>
          </w:p>
        </w:tc>
        <w:tc>
          <w:tcPr>
            <w:tcW w:w="1766" w:type="dxa"/>
          </w:tcPr>
          <w:p w:rsidR="006523F2" w:rsidRDefault="006523F2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Probable</w:t>
            </w:r>
          </w:p>
        </w:tc>
        <w:tc>
          <w:tcPr>
            <w:tcW w:w="1766" w:type="dxa"/>
          </w:tcPr>
          <w:p w:rsidR="006523F2" w:rsidRDefault="006523F2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Medio</w:t>
            </w:r>
          </w:p>
          <w:p w:rsidR="005365D7" w:rsidRDefault="005365D7" w:rsidP="005365D7">
            <w:pPr>
              <w:rPr>
                <w:rFonts w:ascii="Arial Narrow" w:hAnsi="Arial Narrow"/>
              </w:rPr>
            </w:pPr>
          </w:p>
        </w:tc>
        <w:tc>
          <w:tcPr>
            <w:tcW w:w="1766" w:type="dxa"/>
          </w:tcPr>
          <w:p w:rsidR="006523F2" w:rsidRDefault="006523F2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5365D7" w:rsidP="005365D7">
            <w:pPr>
              <w:jc w:val="center"/>
              <w:rPr>
                <w:rFonts w:ascii="Arial Narrow" w:hAnsi="Arial Narrow"/>
              </w:rPr>
            </w:pPr>
          </w:p>
          <w:p w:rsidR="005365D7" w:rsidRDefault="00B01C28" w:rsidP="005365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 FCP</w:t>
            </w:r>
          </w:p>
        </w:tc>
      </w:tr>
    </w:tbl>
    <w:p w:rsidR="004518EF" w:rsidRDefault="004518EF">
      <w:pPr>
        <w:rPr>
          <w:rFonts w:ascii="Arial Narrow" w:hAnsi="Arial Narrow"/>
        </w:rPr>
      </w:pPr>
    </w:p>
    <w:p w:rsidR="00072045" w:rsidRDefault="00D35CF7" w:rsidP="00D35C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 CONTRATISTA como experto de negocio y como especialista, asumirá los efectos económicos de todos aquellos sucesos pre</w:t>
      </w:r>
      <w:r w:rsidR="006C6712">
        <w:rPr>
          <w:rFonts w:ascii="Arial Narrow" w:hAnsi="Arial Narrow"/>
        </w:rPr>
        <w:t>visibles y de normal ocurrencia</w:t>
      </w:r>
      <w:r>
        <w:rPr>
          <w:rFonts w:ascii="Arial Narrow" w:hAnsi="Arial Narrow"/>
        </w:rPr>
        <w:t xml:space="preserve"> para las actividades que son objeto de la presente contratación. Por lo tanto, deberá asumir los riesgos asociados a su tipo de actividad ordinaria que sean previsibles, así mismo, asumirá aquellos riesgos </w:t>
      </w:r>
      <w:r w:rsidR="006C6712">
        <w:rPr>
          <w:rFonts w:ascii="Arial Narrow" w:hAnsi="Arial Narrow"/>
        </w:rPr>
        <w:t xml:space="preserve">propios de su actividad empresarial y de persona natural o jurídica que tiene que cumplir con determinadas cargas y deberes frente al estado y la sociedad. </w:t>
      </w:r>
    </w:p>
    <w:p w:rsidR="006C0911" w:rsidRDefault="006C0911" w:rsidP="00D35C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consecuencia, la entidad no aceptara reclamaciones relacionadas con circunstancias previsibles por el contratista. </w:t>
      </w:r>
    </w:p>
    <w:p w:rsidR="006C0911" w:rsidRPr="00F81994" w:rsidRDefault="006C0911" w:rsidP="00D35CF7">
      <w:pPr>
        <w:jc w:val="both"/>
        <w:rPr>
          <w:rFonts w:ascii="Arial Narrow" w:hAnsi="Arial Narrow"/>
        </w:rPr>
      </w:pPr>
    </w:p>
    <w:sectPr w:rsidR="006C0911" w:rsidRPr="00F8199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21" w:rsidRDefault="003E4521" w:rsidP="00AB6593">
      <w:pPr>
        <w:spacing w:after="0" w:line="240" w:lineRule="auto"/>
      </w:pPr>
      <w:r>
        <w:separator/>
      </w:r>
    </w:p>
  </w:endnote>
  <w:endnote w:type="continuationSeparator" w:id="0">
    <w:p w:rsidR="003E4521" w:rsidRDefault="003E4521" w:rsidP="00AB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21" w:rsidRDefault="003E4521" w:rsidP="00AB6593">
      <w:pPr>
        <w:spacing w:after="0" w:line="240" w:lineRule="auto"/>
      </w:pPr>
      <w:r>
        <w:separator/>
      </w:r>
    </w:p>
  </w:footnote>
  <w:footnote w:type="continuationSeparator" w:id="0">
    <w:p w:rsidR="003E4521" w:rsidRDefault="003E4521" w:rsidP="00AB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93" w:rsidRDefault="00AB6593">
    <w:pPr>
      <w:pStyle w:val="Encabezado"/>
    </w:pP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3E494181" wp14:editId="39D1372E">
          <wp:extent cx="1951355" cy="833755"/>
          <wp:effectExtent l="0" t="0" r="0" b="4445"/>
          <wp:docPr id="5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F0090"/>
    <w:multiLevelType w:val="hybridMultilevel"/>
    <w:tmpl w:val="6414D5CC"/>
    <w:lvl w:ilvl="0" w:tplc="EE3618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6A5F"/>
    <w:multiLevelType w:val="multilevel"/>
    <w:tmpl w:val="0EDEB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49"/>
    <w:rsid w:val="00065A4E"/>
    <w:rsid w:val="00072045"/>
    <w:rsid w:val="00094637"/>
    <w:rsid w:val="001318BA"/>
    <w:rsid w:val="002849C1"/>
    <w:rsid w:val="0035060D"/>
    <w:rsid w:val="003E4521"/>
    <w:rsid w:val="004518EF"/>
    <w:rsid w:val="004A3C5F"/>
    <w:rsid w:val="004B74FE"/>
    <w:rsid w:val="005365D7"/>
    <w:rsid w:val="00563EAD"/>
    <w:rsid w:val="006523F2"/>
    <w:rsid w:val="006C0911"/>
    <w:rsid w:val="006C6712"/>
    <w:rsid w:val="00787149"/>
    <w:rsid w:val="00900B06"/>
    <w:rsid w:val="009904C5"/>
    <w:rsid w:val="009A5BA9"/>
    <w:rsid w:val="009E037D"/>
    <w:rsid w:val="009E605E"/>
    <w:rsid w:val="00A97A70"/>
    <w:rsid w:val="00AA41AA"/>
    <w:rsid w:val="00AB6593"/>
    <w:rsid w:val="00AE3A09"/>
    <w:rsid w:val="00B01C28"/>
    <w:rsid w:val="00B2075C"/>
    <w:rsid w:val="00B70AF3"/>
    <w:rsid w:val="00BC04AD"/>
    <w:rsid w:val="00D35CF7"/>
    <w:rsid w:val="00D41692"/>
    <w:rsid w:val="00D473E4"/>
    <w:rsid w:val="00DB4828"/>
    <w:rsid w:val="00E40228"/>
    <w:rsid w:val="00EB79A3"/>
    <w:rsid w:val="00F40D7F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E8E4"/>
  <w15:chartTrackingRefBased/>
  <w15:docId w15:val="{260DF43F-C886-4987-A43E-97C29ADF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C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6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593"/>
  </w:style>
  <w:style w:type="paragraph" w:styleId="Piedepgina">
    <w:name w:val="footer"/>
    <w:basedOn w:val="Normal"/>
    <w:link w:val="PiedepginaCar"/>
    <w:uiPriority w:val="99"/>
    <w:unhideWhenUsed/>
    <w:rsid w:val="00AB6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D368-41B6-4A93-92B6-D775B145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Katherine Agamez Benitez</dc:creator>
  <cp:keywords/>
  <dc:description/>
  <cp:lastModifiedBy>Contratos</cp:lastModifiedBy>
  <cp:revision>4</cp:revision>
  <dcterms:created xsi:type="dcterms:W3CDTF">2018-03-06T14:49:00Z</dcterms:created>
  <dcterms:modified xsi:type="dcterms:W3CDTF">2018-03-07T17:41:00Z</dcterms:modified>
</cp:coreProperties>
</file>