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614E" w14:textId="2745296F" w:rsidR="006C5DD5" w:rsidRPr="008B286D" w:rsidRDefault="008B286D" w:rsidP="006C5DD5">
      <w:pPr>
        <w:framePr w:hSpace="141" w:wrap="around" w:vAnchor="page" w:hAnchor="page" w:x="1112" w:y="241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>ANEXO 1</w:t>
      </w:r>
      <w:r w:rsidR="006C5DD5"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>4</w:t>
      </w:r>
      <w:r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 xml:space="preserve"> </w:t>
      </w:r>
      <w:r w:rsidR="006C5DD5" w:rsidRPr="008B286D"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>TRADUCTORES / INTÉRPRETES SIMULTÁNEOS O CONSECUTIVOS 10 PUNTOS</w:t>
      </w:r>
    </w:p>
    <w:p w14:paraId="29C09B48" w14:textId="5022B484" w:rsidR="008B286D" w:rsidRPr="008B286D" w:rsidRDefault="008B286D" w:rsidP="006C5DD5">
      <w:pPr>
        <w:framePr w:hSpace="141" w:wrap="around" w:vAnchor="page" w:hAnchor="page" w:x="1112" w:y="241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5D11EC40" w14:textId="77777777" w:rsidR="008B286D" w:rsidRPr="008B286D" w:rsidRDefault="008B286D" w:rsidP="006C5DD5">
      <w:pPr>
        <w:framePr w:hSpace="141" w:wrap="around" w:vAnchor="page" w:hAnchor="page" w:x="1112" w:y="2416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2BD25FEE" w14:textId="0A2A6BBF" w:rsidR="008B286D" w:rsidRPr="008B286D" w:rsidRDefault="006C5DD5" w:rsidP="006C5DD5">
      <w:pPr>
        <w:framePr w:hSpace="141" w:wrap="around" w:vAnchor="page" w:hAnchor="page" w:x="1112" w:y="241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>
        <w:rPr>
          <w:rFonts w:ascii="Quattrocento Sans" w:hAnsi="Quattrocento Sans"/>
          <w:color w:val="000000"/>
          <w:sz w:val="20"/>
          <w:szCs w:val="20"/>
        </w:rPr>
        <w:t xml:space="preserve">El proponente podrá ofertar el número de traductores / intérpretes simultáneos o consecutivos  que presten servicio durante la etapa de operación en los eventos y/o actividades que se desarrollen en </w:t>
      </w:r>
      <w:proofErr w:type="spellStart"/>
      <w:r>
        <w:rPr>
          <w:rFonts w:ascii="Quattrocento Sans" w:hAnsi="Quattrocento Sans"/>
          <w:color w:val="000000"/>
          <w:sz w:val="20"/>
          <w:szCs w:val="20"/>
        </w:rPr>
        <w:t>Calí</w:t>
      </w:r>
      <w:proofErr w:type="spellEnd"/>
      <w:r>
        <w:rPr>
          <w:rFonts w:ascii="Quattrocento Sans" w:hAnsi="Quattrocento Sans"/>
          <w:color w:val="000000"/>
          <w:sz w:val="20"/>
          <w:szCs w:val="20"/>
        </w:rPr>
        <w:t>, en la COP 16, según los requerimientos del FONDO PARA LA VIDA Y LA BIODIVERSIDAD, cómo se establece en el siguiente cuadro:</w:t>
      </w:r>
    </w:p>
    <w:p w14:paraId="603F252E" w14:textId="0ABD20C5" w:rsidR="006C5DD5" w:rsidRPr="008B286D" w:rsidRDefault="006C5DD5" w:rsidP="006C5DD5">
      <w:pPr>
        <w:framePr w:hSpace="141" w:wrap="around" w:vAnchor="page" w:hAnchor="page" w:x="1112" w:y="241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tbl>
      <w:tblPr>
        <w:tblW w:w="6086" w:type="dxa"/>
        <w:tblInd w:w="11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1118"/>
        <w:gridCol w:w="1861"/>
      </w:tblGrid>
      <w:tr w:rsidR="006C5DD5" w:rsidRPr="008B286D" w14:paraId="742FF5A2" w14:textId="77777777" w:rsidTr="006C5DD5">
        <w:trPr>
          <w:trHeight w:val="2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5C8E" w14:textId="609FACFC" w:rsidR="006C5DD5" w:rsidRPr="006C5DD5" w:rsidRDefault="006C5DD5" w:rsidP="006C5DD5">
            <w:pPr>
              <w:framePr w:hSpace="141" w:wrap="around" w:vAnchor="page" w:hAnchor="page" w:x="1112" w:y="2416"/>
              <w:spacing w:after="0" w:line="240" w:lineRule="auto"/>
              <w:rPr>
                <w:rFonts w:ascii="Quattrocento Sans" w:eastAsia="Times New Roman" w:hAnsi="Quattrocento San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5DD5">
              <w:rPr>
                <w:rFonts w:ascii="Quattrocento Sans" w:eastAsia="Times New Roman" w:hAnsi="Quattrocento San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TRADUCTORES /INTÉRPRETES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09E6E" w14:textId="747303EE" w:rsidR="006C5DD5" w:rsidRPr="006C5DD5" w:rsidRDefault="006C5DD5" w:rsidP="006C5DD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Quattrocento Sans" w:eastAsia="Times New Roman" w:hAnsi="Quattrocento San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5DD5">
              <w:rPr>
                <w:rFonts w:ascii="Quattrocento Sans" w:eastAsia="Times New Roman" w:hAnsi="Quattrocento San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PUNTOS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AE2EA" w14:textId="40CE19C2" w:rsidR="006C5DD5" w:rsidRPr="006C5DD5" w:rsidRDefault="006C5DD5" w:rsidP="006C5DD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Quattrocento Sans" w:eastAsia="Times New Roman" w:hAnsi="Quattrocento San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C5DD5">
              <w:rPr>
                <w:rFonts w:ascii="Quattrocento Sans" w:eastAsia="Times New Roman" w:hAnsi="Quattrocento Sans" w:cs="Times New Roman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OFERTA</w:t>
            </w:r>
          </w:p>
        </w:tc>
      </w:tr>
      <w:tr w:rsidR="006C5DD5" w:rsidRPr="008B286D" w14:paraId="68C01C4D" w14:textId="2BF4C79B" w:rsidTr="006C5DD5">
        <w:trPr>
          <w:trHeight w:val="2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949C6" w14:textId="77777777" w:rsidR="006C5DD5" w:rsidRPr="008B286D" w:rsidRDefault="006C5DD5" w:rsidP="006C5DD5">
            <w:pPr>
              <w:framePr w:hSpace="141" w:wrap="around" w:vAnchor="page" w:hAnchor="page" w:x="1112" w:y="2416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8B286D"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 traductor / intérprete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FD15F" w14:textId="77777777" w:rsidR="006C5DD5" w:rsidRPr="008B286D" w:rsidRDefault="006C5DD5" w:rsidP="006C5DD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8B286D"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 puntos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A4A04" w14:textId="77777777" w:rsidR="006C5DD5" w:rsidRPr="008B286D" w:rsidRDefault="006C5DD5" w:rsidP="006C5DD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C5DD5" w:rsidRPr="008B286D" w14:paraId="5ECD5AE3" w14:textId="02166AF3" w:rsidTr="006C5DD5">
        <w:trPr>
          <w:trHeight w:val="1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AA8B0" w14:textId="77777777" w:rsidR="006C5DD5" w:rsidRPr="008B286D" w:rsidRDefault="006C5DD5" w:rsidP="006C5DD5">
            <w:pPr>
              <w:framePr w:hSpace="141" w:wrap="around" w:vAnchor="page" w:hAnchor="page" w:x="1112" w:y="2416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8B286D"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 traductores / intérpretes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6454D" w14:textId="77777777" w:rsidR="006C5DD5" w:rsidRPr="008B286D" w:rsidRDefault="006C5DD5" w:rsidP="006C5DD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8B286D"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 puntos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AA8B" w14:textId="77777777" w:rsidR="006C5DD5" w:rsidRPr="008B286D" w:rsidRDefault="006C5DD5" w:rsidP="006C5DD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C5DD5" w:rsidRPr="008B286D" w14:paraId="45BE9D81" w14:textId="0DC86E2B" w:rsidTr="006C5DD5">
        <w:trPr>
          <w:trHeight w:val="2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48DFC" w14:textId="57300702" w:rsidR="006C5DD5" w:rsidRPr="008B286D" w:rsidRDefault="006C5DD5" w:rsidP="006C5DD5">
            <w:pPr>
              <w:framePr w:hSpace="141" w:wrap="around" w:vAnchor="page" w:hAnchor="page" w:x="1112" w:y="2416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8B286D"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 traductores / intérprete</w:t>
            </w:r>
            <w:r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8B286D"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7B605" w14:textId="77777777" w:rsidR="006C5DD5" w:rsidRPr="008B286D" w:rsidRDefault="006C5DD5" w:rsidP="006C5DD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MX"/>
                <w14:ligatures w14:val="none"/>
              </w:rPr>
            </w:pPr>
            <w:r w:rsidRPr="008B286D"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 puntos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1FAA" w14:textId="77777777" w:rsidR="006C5DD5" w:rsidRPr="008B286D" w:rsidRDefault="006C5DD5" w:rsidP="006C5DD5">
            <w:pPr>
              <w:framePr w:hSpace="141" w:wrap="around" w:vAnchor="page" w:hAnchor="page" w:x="1112" w:y="2416"/>
              <w:spacing w:after="0" w:line="240" w:lineRule="auto"/>
              <w:jc w:val="center"/>
              <w:rPr>
                <w:rFonts w:ascii="Quattrocento Sans" w:eastAsia="Times New Roman" w:hAnsi="Quattrocento Sans" w:cs="Times New Roman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3CAD46D7" w14:textId="77777777" w:rsidR="008B286D" w:rsidRPr="008B286D" w:rsidRDefault="008B286D" w:rsidP="006C5DD5">
      <w:pPr>
        <w:framePr w:hSpace="141" w:wrap="around" w:vAnchor="page" w:hAnchor="page" w:x="1112" w:y="2416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</w:p>
    <w:p w14:paraId="5E836BF0" w14:textId="77777777" w:rsidR="008B286D" w:rsidRPr="008B286D" w:rsidRDefault="008B286D" w:rsidP="006C5DD5">
      <w:pPr>
        <w:framePr w:hSpace="141" w:wrap="around" w:vAnchor="page" w:hAnchor="page" w:x="1112" w:y="241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8B286D"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 xml:space="preserve">Nota 1: </w:t>
      </w:r>
      <w:r w:rsidRPr="008B286D">
        <w:rPr>
          <w:rFonts w:ascii="Quattrocento Sans" w:eastAsia="Times New Roman" w:hAnsi="Quattrocento Sans" w:cs="Times New Roman"/>
          <w:color w:val="000000"/>
          <w:kern w:val="0"/>
          <w:sz w:val="20"/>
          <w:szCs w:val="20"/>
          <w:lang w:eastAsia="es-MX"/>
          <w14:ligatures w14:val="none"/>
        </w:rPr>
        <w:t>Los traductores o intérpretes deberán certificar el dominio del idioma correspondiente ( inglés o francés) y experiencia en servicios de traducción simultánea o consecutiva en mínimo 10 eventos </w:t>
      </w:r>
    </w:p>
    <w:p w14:paraId="72D0BB1D" w14:textId="77777777" w:rsidR="008B286D" w:rsidRDefault="008B286D" w:rsidP="006C5DD5">
      <w:pPr>
        <w:framePr w:hSpace="141" w:wrap="around" w:vAnchor="page" w:hAnchor="page" w:x="1112" w:y="2416"/>
        <w:spacing w:after="24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12AC1E9" w14:textId="77777777" w:rsidR="006C5DD5" w:rsidRDefault="006C5DD5" w:rsidP="006C5DD5">
      <w:pPr>
        <w:framePr w:hSpace="141" w:wrap="around" w:vAnchor="page" w:hAnchor="page" w:x="1112" w:y="2416"/>
        <w:spacing w:after="24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6F80029C" w14:textId="7AF7FB7A" w:rsidR="006C5DD5" w:rsidRPr="006C5DD5" w:rsidRDefault="006C5DD5" w:rsidP="006C5DD5">
      <w:pPr>
        <w:framePr w:hSpace="141" w:wrap="around" w:vAnchor="page" w:hAnchor="page" w:x="1112" w:y="2416"/>
        <w:spacing w:after="240" w:line="240" w:lineRule="auto"/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</w:pPr>
      <w:r w:rsidRPr="006C5DD5"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 xml:space="preserve">FIRMA </w:t>
      </w:r>
    </w:p>
    <w:p w14:paraId="00E63935" w14:textId="77777777" w:rsidR="006C5DD5" w:rsidRPr="006C5DD5" w:rsidRDefault="006C5DD5" w:rsidP="006C5DD5">
      <w:pPr>
        <w:framePr w:hSpace="141" w:wrap="around" w:vAnchor="page" w:hAnchor="page" w:x="1112" w:y="2416"/>
        <w:spacing w:after="240" w:line="240" w:lineRule="auto"/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</w:pPr>
    </w:p>
    <w:p w14:paraId="371CFDFE" w14:textId="5A801500" w:rsidR="006C5DD5" w:rsidRPr="008B286D" w:rsidRDefault="006C5DD5" w:rsidP="006C5DD5">
      <w:pPr>
        <w:framePr w:hSpace="141" w:wrap="around" w:vAnchor="page" w:hAnchor="page" w:x="1112" w:y="2416"/>
        <w:spacing w:after="240" w:line="240" w:lineRule="auto"/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</w:pPr>
      <w:r w:rsidRPr="006C5DD5">
        <w:rPr>
          <w:rFonts w:ascii="Quattrocento Sans" w:eastAsia="Times New Roman" w:hAnsi="Quattrocento Sans" w:cs="Times New Roman"/>
          <w:b/>
          <w:bCs/>
          <w:color w:val="000000"/>
          <w:kern w:val="0"/>
          <w:sz w:val="20"/>
          <w:szCs w:val="20"/>
          <w:lang w:eastAsia="es-MX"/>
          <w14:ligatures w14:val="none"/>
        </w:rPr>
        <w:t>REPRESENTANTE LEGAL</w:t>
      </w:r>
    </w:p>
    <w:p w14:paraId="4CA73B13" w14:textId="77777777" w:rsidR="008B286D" w:rsidRPr="008B286D" w:rsidRDefault="008B286D" w:rsidP="006C5DD5">
      <w:pPr>
        <w:framePr w:hSpace="141" w:wrap="around" w:vAnchor="page" w:hAnchor="page" w:x="1112" w:y="2416"/>
        <w:spacing w:after="0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AF0416E" w14:textId="77777777" w:rsidR="00237EC5" w:rsidRPr="008B286D" w:rsidRDefault="00237EC5">
      <w:pPr>
        <w:rPr>
          <w:lang w:val="es-ES_tradnl"/>
        </w:rPr>
      </w:pPr>
    </w:p>
    <w:sectPr w:rsidR="00237EC5" w:rsidRPr="008B286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11CF" w14:textId="77777777" w:rsidR="002F0886" w:rsidRDefault="002F0886" w:rsidP="00237EC5">
      <w:pPr>
        <w:spacing w:after="0" w:line="240" w:lineRule="auto"/>
      </w:pPr>
      <w:r>
        <w:separator/>
      </w:r>
    </w:p>
  </w:endnote>
  <w:endnote w:type="continuationSeparator" w:id="0">
    <w:p w14:paraId="02329882" w14:textId="77777777" w:rsidR="002F0886" w:rsidRDefault="002F0886" w:rsidP="0023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8919" w14:textId="77777777" w:rsidR="00237EC5" w:rsidRDefault="00237EC5" w:rsidP="00237EC5">
    <w:pPr>
      <w:spacing w:after="0" w:line="240" w:lineRule="auto"/>
      <w:jc w:val="center"/>
      <w:rPr>
        <w:sz w:val="20"/>
        <w:szCs w:val="20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Calle 28 N. 13A – 24, Edificio Museo del Parque, Torre B, pisos 6 – Bogotá D.C.</w:t>
    </w:r>
  </w:p>
  <w:p w14:paraId="0DD18184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r>
      <w:rPr>
        <w:rFonts w:ascii="Quattrocento Sans" w:eastAsia="Quattrocento Sans" w:hAnsi="Quattrocento Sans" w:cs="Quattrocento Sans"/>
        <w:color w:val="000000"/>
        <w:sz w:val="14"/>
        <w:szCs w:val="14"/>
      </w:rPr>
      <w:t>PBX: (601) 327 55 00 o Línea Gratuita Nacional 01 8000 124211</w:t>
    </w:r>
  </w:p>
  <w:p w14:paraId="39625AFA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r>
      <w:rPr>
        <w:rFonts w:ascii="Quattrocento Sans" w:eastAsia="Quattrocento Sans" w:hAnsi="Quattrocento Sans" w:cs="Quattrocento Sans"/>
        <w:color w:val="000000"/>
        <w:sz w:val="14"/>
        <w:szCs w:val="14"/>
      </w:rPr>
      <w:t>fiducoldex@fiducoldex.com.co</w:t>
    </w:r>
  </w:p>
  <w:p w14:paraId="0D49013D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sz w:val="14"/>
        <w:szCs w:val="14"/>
      </w:rPr>
    </w:pPr>
    <w:hyperlink r:id="rId1">
      <w:r>
        <w:rPr>
          <w:rFonts w:ascii="Quattrocento Sans" w:eastAsia="Quattrocento Sans" w:hAnsi="Quattrocento Sans" w:cs="Quattrocento Sans"/>
          <w:color w:val="0563C1"/>
          <w:sz w:val="14"/>
          <w:szCs w:val="14"/>
          <w:u w:val="single"/>
        </w:rPr>
        <w:t>www.fiducoldex.com.co</w:t>
      </w:r>
    </w:hyperlink>
  </w:p>
  <w:p w14:paraId="44C14186" w14:textId="77777777" w:rsidR="00237EC5" w:rsidRDefault="00237EC5" w:rsidP="00237EC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Calibri"/>
      </w:rPr>
    </w:pPr>
  </w:p>
  <w:p w14:paraId="44FB8CA5" w14:textId="77777777" w:rsidR="00237EC5" w:rsidRDefault="00237EC5" w:rsidP="00237EC5">
    <w:pPr>
      <w:spacing w:line="240" w:lineRule="auto"/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</w:pPr>
    <w:r>
      <w:rPr>
        <w:rFonts w:ascii="Quattrocento Sans" w:eastAsia="Quattrocento Sans" w:hAnsi="Quattrocento Sans" w:cs="Quattrocento Sans"/>
        <w:color w:val="000000"/>
        <w:sz w:val="10"/>
        <w:szCs w:val="10"/>
      </w:rPr>
      <w:t>“</w:t>
    </w:r>
    <w:r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  <w:t>“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Defensor del Consumidor Financiero de la 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FIDUCIARIA COLOMBIANA DE COMERCIO EXTERIOR S.A. -FIDUCOLDEX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 xml:space="preserve">- Dra. Liliana Otero Álvarez (Principal) y Dr. Iván Darío Amaya (Suplente) ubicadas en la Carrera 13 # 73 - 34 Oficina 202 Edificio Catania de la ciudad de Bogotá D.C. PBX (571) 9260801. </w:t>
    </w:r>
    <w:r>
      <w:rPr>
        <w:rFonts w:ascii="Quattrocento Sans" w:eastAsia="Quattrocento Sans" w:hAnsi="Quattrocento Sans" w:cs="Quattrocento Sans"/>
        <w:sz w:val="10"/>
        <w:szCs w:val="10"/>
        <w:highlight w:val="white"/>
      </w:rPr>
      <w:t>e-mail:</w:t>
    </w:r>
    <w:hyperlink r:id="rId2">
      <w:r>
        <w:rPr>
          <w:rFonts w:ascii="Quattrocento Sans" w:eastAsia="Quattrocento Sans" w:hAnsi="Quattrocento Sans" w:cs="Quattrocento Sans"/>
          <w:color w:val="0000FF"/>
          <w:sz w:val="10"/>
          <w:szCs w:val="10"/>
          <w:highlight w:val="white"/>
          <w:u w:val="single"/>
        </w:rPr>
        <w:t>defensorfiducoldex@umoabogados.com</w:t>
      </w:r>
    </w:hyperlink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; Horario de atención: de 8:00 a.m. a 5:00 p.m. de lunes a viernes en jornada continua. Si Usted requiere información adicional acerca de la Defensoría del Consumidor Financiero de 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FIDUCOLDEXS.A.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, consúltenos de forma telefónica al teléfono 3275500, diríjase directamente a nuestras oficinas ubicadas en la Calle 28 No. 13A- 24 Piso 6, en la ciudad de Bogotá D.C., o al correo electrónico</w:t>
    </w:r>
    <w:hyperlink r:id="rId3">
      <w:r>
        <w:rPr>
          <w:rFonts w:ascii="Quattrocento Sans" w:eastAsia="Quattrocento Sans" w:hAnsi="Quattrocento Sans" w:cs="Quattrocento Sans"/>
          <w:color w:val="0000FF"/>
          <w:sz w:val="10"/>
          <w:szCs w:val="10"/>
          <w:highlight w:val="white"/>
          <w:u w:val="single"/>
        </w:rPr>
        <w:t>fiducoldex@fiducoldex.com.cofiducoldex@fiducoldex.com.co</w:t>
      </w:r>
    </w:hyperlink>
    <w:r>
      <w:rPr>
        <w:rFonts w:ascii="Quattrocento Sans" w:eastAsia="Quattrocento Sans" w:hAnsi="Quattrocento Sans" w:cs="Quattrocento Sans"/>
        <w:sz w:val="10"/>
        <w:szCs w:val="10"/>
        <w:highlight w:val="white"/>
      </w:rPr>
      <w:t>.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  Las funciones del Defensor del Consumidor son las que corresponden al artículo 13 de la Ley 1328 de 2009, y demás normas que la reglamentan y que se relacionan a continuación: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1.-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Atender de manera oportuna y efectiva a los consumidores financieros de las entidades correspondientes.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2.-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Conocer y resolver en forma objetiva y gratuita para los consumidores, las quejas que éstos le presenten;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3.-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Actuar como conciliador entre los consumidores financieros y la respectiva entidad vigilada en los términos indicados en la Ley 640 de 2001, su reglamentación, o en las normas que la modifiquen o sustituyan;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4.-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Ser vocero de los consumidores financieros ante la respectiva entidad vigilada.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5.-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Efectuar recomendaciones a la entidad vigilada relacionadas con los servicios y la atención al consumidor financiero, y en general en materias enmarcadas en el ámbito de su actividad;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6.-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Proponer a las autoridades competentes las modificaciones normativas que resulten convenientes para la mejor protección de los derechos de los consumidores financieros; y,</w:t>
    </w:r>
    <w:r>
      <w:rPr>
        <w:rFonts w:ascii="Quattrocento Sans" w:eastAsia="Quattrocento Sans" w:hAnsi="Quattrocento Sans" w:cs="Quattrocento Sans"/>
        <w:b/>
        <w:color w:val="000000"/>
        <w:sz w:val="10"/>
        <w:szCs w:val="10"/>
        <w:highlight w:val="white"/>
      </w:rPr>
      <w:t>7.-</w:t>
    </w:r>
    <w:r>
      <w:rPr>
        <w:rFonts w:ascii="Quattrocento Sans" w:eastAsia="Quattrocento Sans" w:hAnsi="Quattrocento Sans" w:cs="Quattrocento Sans"/>
        <w:color w:val="000000"/>
        <w:sz w:val="10"/>
        <w:szCs w:val="10"/>
        <w:highlight w:val="white"/>
      </w:rPr>
      <w:t>Las demás que le asigne el Gobierno Nacional y que tengan como propósito el adecuado, desarrollo del SAC.</w:t>
    </w:r>
    <w:r>
      <w:rPr>
        <w:rFonts w:ascii="Quattrocento Sans" w:eastAsia="Quattrocento Sans" w:hAnsi="Quattrocento Sans" w:cs="Quattrocento Sans"/>
        <w:color w:val="1F3864"/>
        <w:sz w:val="12"/>
        <w:szCs w:val="12"/>
        <w:highlight w:val="white"/>
      </w:rPr>
      <w:t>”</w:t>
    </w:r>
  </w:p>
  <w:p w14:paraId="51F2BAA2" w14:textId="77777777" w:rsidR="00237EC5" w:rsidRDefault="00237E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2FC5" w14:textId="77777777" w:rsidR="002F0886" w:rsidRDefault="002F0886" w:rsidP="00237EC5">
      <w:pPr>
        <w:spacing w:after="0" w:line="240" w:lineRule="auto"/>
      </w:pPr>
      <w:r>
        <w:separator/>
      </w:r>
    </w:p>
  </w:footnote>
  <w:footnote w:type="continuationSeparator" w:id="0">
    <w:p w14:paraId="52083F4A" w14:textId="77777777" w:rsidR="002F0886" w:rsidRDefault="002F0886" w:rsidP="0023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B63F" w14:textId="77777777" w:rsidR="00237EC5" w:rsidRDefault="00237EC5" w:rsidP="00237EC5">
    <w:pPr>
      <w:pBdr>
        <w:top w:val="nil"/>
        <w:left w:val="nil"/>
        <w:bottom w:val="nil"/>
        <w:right w:val="nil"/>
        <w:between w:val="nil"/>
      </w:pBdr>
      <w:spacing w:line="246" w:lineRule="auto"/>
      <w:rPr>
        <w:rFonts w:ascii="Quattrocento Sans" w:eastAsia="Quattrocento Sans" w:hAnsi="Quattrocento Sans" w:cs="Quattrocento Sans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79A3E52" wp14:editId="13558272">
          <wp:simplePos x="0" y="0"/>
          <wp:positionH relativeFrom="column">
            <wp:posOffset>-5077</wp:posOffset>
          </wp:positionH>
          <wp:positionV relativeFrom="paragraph">
            <wp:posOffset>1905</wp:posOffset>
          </wp:positionV>
          <wp:extent cx="1787823" cy="642813"/>
          <wp:effectExtent l="0" t="0" r="0" b="0"/>
          <wp:wrapNone/>
          <wp:docPr id="1938573766" name="image3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823" cy="642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279FACC" wp14:editId="2C974478">
          <wp:simplePos x="0" y="0"/>
          <wp:positionH relativeFrom="column">
            <wp:posOffset>2343785</wp:posOffset>
          </wp:positionH>
          <wp:positionV relativeFrom="paragraph">
            <wp:posOffset>69215</wp:posOffset>
          </wp:positionV>
          <wp:extent cx="1768191" cy="540624"/>
          <wp:effectExtent l="0" t="0" r="0" b="0"/>
          <wp:wrapNone/>
          <wp:docPr id="19385737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8191" cy="540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22A79B3" wp14:editId="728B9427">
          <wp:simplePos x="0" y="0"/>
          <wp:positionH relativeFrom="column">
            <wp:posOffset>4694830</wp:posOffset>
          </wp:positionH>
          <wp:positionV relativeFrom="paragraph">
            <wp:posOffset>158486</wp:posOffset>
          </wp:positionV>
          <wp:extent cx="1276710" cy="441598"/>
          <wp:effectExtent l="0" t="0" r="0" b="0"/>
          <wp:wrapNone/>
          <wp:docPr id="193857376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710" cy="441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A8FC54" w14:textId="77777777" w:rsidR="00237EC5" w:rsidRDefault="00237E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C5"/>
    <w:rsid w:val="000B0F44"/>
    <w:rsid w:val="00237EC5"/>
    <w:rsid w:val="002F0886"/>
    <w:rsid w:val="006C5DD5"/>
    <w:rsid w:val="008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89A3C"/>
  <w15:chartTrackingRefBased/>
  <w15:docId w15:val="{35AF3FBD-5183-7848-8540-0B92778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7E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7E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7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7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7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7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7E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7E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E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7E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7EC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7E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7EC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7E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7E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7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7EC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7EC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7EC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7E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7EC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7EC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7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EC5"/>
  </w:style>
  <w:style w:type="paragraph" w:styleId="Piedepgina">
    <w:name w:val="footer"/>
    <w:basedOn w:val="Normal"/>
    <w:link w:val="PiedepginaCar"/>
    <w:uiPriority w:val="99"/>
    <w:unhideWhenUsed/>
    <w:rsid w:val="00237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EC5"/>
  </w:style>
  <w:style w:type="paragraph" w:styleId="NormalWeb">
    <w:name w:val="Normal (Web)"/>
    <w:basedOn w:val="Normal"/>
    <w:uiPriority w:val="99"/>
    <w:semiHidden/>
    <w:unhideWhenUsed/>
    <w:rsid w:val="008B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ducoldex@fiducoldex.com.co" TargetMode="External"/><Relationship Id="rId2" Type="http://schemas.openxmlformats.org/officeDocument/2006/relationships/hyperlink" Target="mailto:defensorfiducoldex@umoabogados.com" TargetMode="External"/><Relationship Id="rId1" Type="http://schemas.openxmlformats.org/officeDocument/2006/relationships/hyperlink" Target="http://www.fiducoldex.com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 Marcela Acosta Suarez</dc:creator>
  <cp:keywords/>
  <dc:description/>
  <cp:lastModifiedBy>July Marcela Acosta Suarez</cp:lastModifiedBy>
  <cp:revision>2</cp:revision>
  <cp:lastPrinted>2024-06-20T16:02:00Z</cp:lastPrinted>
  <dcterms:created xsi:type="dcterms:W3CDTF">2024-06-20T16:13:00Z</dcterms:created>
  <dcterms:modified xsi:type="dcterms:W3CDTF">2024-06-20T16:13:00Z</dcterms:modified>
</cp:coreProperties>
</file>